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6E8C" w14:textId="21D47A00" w:rsidR="00390BB5" w:rsidRPr="000B67D9" w:rsidRDefault="00B64D94" w:rsidP="00B64D94">
      <w:pPr>
        <w:pStyle w:val="Title"/>
        <w:spacing w:line="240" w:lineRule="auto"/>
        <w:jc w:val="center"/>
        <w:rPr>
          <w:sz w:val="40"/>
          <w:szCs w:val="40"/>
        </w:rPr>
      </w:pPr>
      <w:r>
        <w:rPr>
          <w:sz w:val="40"/>
          <w:szCs w:val="40"/>
        </w:rPr>
        <w:t xml:space="preserve">NCPH </w:t>
      </w:r>
      <w:r w:rsidR="00000000" w:rsidRPr="000B67D9">
        <w:rPr>
          <w:sz w:val="40"/>
          <w:szCs w:val="40"/>
        </w:rPr>
        <w:t xml:space="preserve">Presenter Registration </w:t>
      </w:r>
      <w:r w:rsidR="000B67D9" w:rsidRPr="000B67D9">
        <w:rPr>
          <w:sz w:val="40"/>
          <w:szCs w:val="40"/>
        </w:rPr>
        <w:t>Guide</w:t>
      </w:r>
    </w:p>
    <w:p w14:paraId="22CE344A" w14:textId="12E55F18" w:rsidR="000B67D9" w:rsidRPr="000B67D9" w:rsidRDefault="000B67D9" w:rsidP="000B67D9">
      <w:pPr>
        <w:pStyle w:val="Heading2"/>
        <w:spacing w:line="240" w:lineRule="auto"/>
        <w:rPr>
          <w:sz w:val="32"/>
          <w:szCs w:val="32"/>
        </w:rPr>
      </w:pPr>
      <w:r w:rsidRPr="000B67D9">
        <w:rPr>
          <w:sz w:val="32"/>
          <w:szCs w:val="32"/>
        </w:rPr>
        <w:t>NCPH 2025 Registration Rates</w:t>
      </w:r>
    </w:p>
    <w:tbl>
      <w:tblPr>
        <w:tblStyle w:val="a"/>
        <w:tblW w:w="8790" w:type="dxa"/>
        <w:jc w:val="center"/>
        <w:tblLayout w:type="fixed"/>
        <w:tblLook w:val="0400" w:firstRow="0" w:lastRow="0" w:firstColumn="0" w:lastColumn="0" w:noHBand="0" w:noVBand="1"/>
      </w:tblPr>
      <w:tblGrid>
        <w:gridCol w:w="3480"/>
        <w:gridCol w:w="1335"/>
        <w:gridCol w:w="1365"/>
        <w:gridCol w:w="1425"/>
        <w:gridCol w:w="1185"/>
      </w:tblGrid>
      <w:tr w:rsidR="00390BB5" w14:paraId="2426A52C" w14:textId="77777777">
        <w:trPr>
          <w:trHeight w:val="717"/>
          <w:jc w:val="center"/>
        </w:trPr>
        <w:tc>
          <w:tcPr>
            <w:tcW w:w="34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838F807" w14:textId="77777777" w:rsidR="00390BB5" w:rsidRPr="000B67D9" w:rsidRDefault="00000000" w:rsidP="000B67D9">
            <w:pPr>
              <w:spacing w:after="0" w:line="240" w:lineRule="auto"/>
              <w:rPr>
                <w:b/>
                <w:color w:val="FF0000"/>
                <w:sz w:val="24"/>
                <w:szCs w:val="24"/>
              </w:rPr>
            </w:pPr>
            <w:r w:rsidRPr="000B67D9">
              <w:rPr>
                <w:b/>
                <w:sz w:val="24"/>
                <w:szCs w:val="24"/>
              </w:rPr>
              <w:t>Registration Rates</w:t>
            </w:r>
          </w:p>
        </w:tc>
        <w:tc>
          <w:tcPr>
            <w:tcW w:w="1335" w:type="dxa"/>
            <w:tcBorders>
              <w:top w:val="single" w:sz="4" w:space="0" w:color="000000"/>
              <w:left w:val="nil"/>
              <w:bottom w:val="single" w:sz="4" w:space="0" w:color="000000"/>
              <w:right w:val="single" w:sz="4" w:space="0" w:color="000000"/>
            </w:tcBorders>
            <w:shd w:val="clear" w:color="auto" w:fill="E7E6E6"/>
            <w:vAlign w:val="bottom"/>
          </w:tcPr>
          <w:p w14:paraId="1C901876" w14:textId="77777777" w:rsidR="00390BB5" w:rsidRPr="000B67D9" w:rsidRDefault="00000000" w:rsidP="000B67D9">
            <w:pPr>
              <w:spacing w:after="0" w:line="240" w:lineRule="auto"/>
              <w:rPr>
                <w:b/>
                <w:sz w:val="24"/>
                <w:szCs w:val="24"/>
              </w:rPr>
            </w:pPr>
            <w:r w:rsidRPr="000B67D9">
              <w:rPr>
                <w:b/>
                <w:sz w:val="24"/>
                <w:szCs w:val="24"/>
              </w:rPr>
              <w:t xml:space="preserve">Presenter </w:t>
            </w:r>
          </w:p>
          <w:p w14:paraId="5F071A44" w14:textId="77777777" w:rsidR="00390BB5" w:rsidRPr="000B67D9" w:rsidRDefault="00000000" w:rsidP="000B67D9">
            <w:pPr>
              <w:spacing w:after="0" w:line="240" w:lineRule="auto"/>
              <w:rPr>
                <w:bCs/>
                <w:sz w:val="24"/>
                <w:szCs w:val="24"/>
              </w:rPr>
            </w:pPr>
            <w:r w:rsidRPr="000B67D9">
              <w:rPr>
                <w:bCs/>
                <w:sz w:val="24"/>
                <w:szCs w:val="24"/>
              </w:rPr>
              <w:t>9/15/24-</w:t>
            </w:r>
            <w:r w:rsidRPr="000B67D9">
              <w:rPr>
                <w:bCs/>
                <w:sz w:val="24"/>
                <w:szCs w:val="24"/>
              </w:rPr>
              <w:br/>
              <w:t>11/1/24</w:t>
            </w:r>
          </w:p>
        </w:tc>
        <w:tc>
          <w:tcPr>
            <w:tcW w:w="1365" w:type="dxa"/>
            <w:tcBorders>
              <w:top w:val="single" w:sz="4" w:space="0" w:color="000000"/>
              <w:left w:val="nil"/>
              <w:bottom w:val="single" w:sz="4" w:space="0" w:color="000000"/>
              <w:right w:val="single" w:sz="4" w:space="0" w:color="000000"/>
            </w:tcBorders>
            <w:shd w:val="clear" w:color="auto" w:fill="E7E6E6"/>
            <w:vAlign w:val="bottom"/>
          </w:tcPr>
          <w:p w14:paraId="2E8793C5" w14:textId="77777777" w:rsidR="00390BB5" w:rsidRDefault="00390BB5" w:rsidP="000B67D9">
            <w:pPr>
              <w:spacing w:after="0" w:line="240" w:lineRule="auto"/>
              <w:rPr>
                <w:b/>
                <w:sz w:val="24"/>
                <w:szCs w:val="24"/>
              </w:rPr>
            </w:pPr>
          </w:p>
          <w:p w14:paraId="223CCA14" w14:textId="77777777" w:rsidR="00390BB5" w:rsidRPr="000B67D9" w:rsidRDefault="00000000" w:rsidP="000B67D9">
            <w:pPr>
              <w:spacing w:after="0" w:line="240" w:lineRule="auto"/>
              <w:rPr>
                <w:b/>
                <w:sz w:val="24"/>
                <w:szCs w:val="24"/>
              </w:rPr>
            </w:pPr>
            <w:r w:rsidRPr="000B67D9">
              <w:rPr>
                <w:b/>
                <w:sz w:val="24"/>
                <w:szCs w:val="24"/>
              </w:rPr>
              <w:t xml:space="preserve">Early Bird </w:t>
            </w:r>
          </w:p>
          <w:p w14:paraId="11212F1F" w14:textId="77777777" w:rsidR="00390BB5" w:rsidRPr="000B67D9" w:rsidRDefault="00000000" w:rsidP="000B67D9">
            <w:pPr>
              <w:spacing w:after="0" w:line="240" w:lineRule="auto"/>
              <w:rPr>
                <w:bCs/>
                <w:color w:val="000000"/>
                <w:sz w:val="24"/>
                <w:szCs w:val="24"/>
              </w:rPr>
            </w:pPr>
            <w:r w:rsidRPr="000B67D9">
              <w:rPr>
                <w:bCs/>
                <w:color w:val="000000"/>
                <w:sz w:val="24"/>
                <w:szCs w:val="24"/>
              </w:rPr>
              <w:t>11/1</w:t>
            </w:r>
            <w:r w:rsidRPr="000B67D9">
              <w:rPr>
                <w:bCs/>
                <w:sz w:val="24"/>
                <w:szCs w:val="24"/>
              </w:rPr>
              <w:t>/</w:t>
            </w:r>
            <w:r w:rsidRPr="000B67D9">
              <w:rPr>
                <w:bCs/>
                <w:color w:val="000000"/>
                <w:sz w:val="24"/>
                <w:szCs w:val="24"/>
              </w:rPr>
              <w:t>24-</w:t>
            </w:r>
            <w:r w:rsidRPr="000B67D9">
              <w:rPr>
                <w:bCs/>
                <w:color w:val="000000"/>
                <w:sz w:val="24"/>
                <w:szCs w:val="24"/>
              </w:rPr>
              <w:br/>
            </w:r>
            <w:r w:rsidRPr="000B67D9">
              <w:rPr>
                <w:bCs/>
                <w:sz w:val="24"/>
                <w:szCs w:val="24"/>
              </w:rPr>
              <w:t>1/29/25</w:t>
            </w:r>
          </w:p>
        </w:tc>
        <w:tc>
          <w:tcPr>
            <w:tcW w:w="1425" w:type="dxa"/>
            <w:tcBorders>
              <w:top w:val="single" w:sz="4" w:space="0" w:color="000000"/>
              <w:left w:val="nil"/>
              <w:bottom w:val="single" w:sz="4" w:space="0" w:color="000000"/>
              <w:right w:val="single" w:sz="4" w:space="0" w:color="000000"/>
            </w:tcBorders>
            <w:shd w:val="clear" w:color="auto" w:fill="E7E6E6"/>
            <w:vAlign w:val="bottom"/>
          </w:tcPr>
          <w:p w14:paraId="4119612C" w14:textId="77777777" w:rsidR="00390BB5" w:rsidRDefault="00000000" w:rsidP="000B67D9">
            <w:pPr>
              <w:spacing w:after="0" w:line="240" w:lineRule="auto"/>
              <w:rPr>
                <w:b/>
                <w:color w:val="000000"/>
                <w:sz w:val="24"/>
                <w:szCs w:val="24"/>
              </w:rPr>
            </w:pPr>
            <w:r>
              <w:rPr>
                <w:b/>
                <w:color w:val="000000"/>
                <w:sz w:val="24"/>
                <w:szCs w:val="24"/>
              </w:rPr>
              <w:t xml:space="preserve">  </w:t>
            </w:r>
          </w:p>
          <w:p w14:paraId="05B1B592" w14:textId="77777777" w:rsidR="00390BB5" w:rsidRPr="000B67D9" w:rsidRDefault="00000000" w:rsidP="000B67D9">
            <w:pPr>
              <w:spacing w:after="0" w:line="240" w:lineRule="auto"/>
              <w:rPr>
                <w:b/>
                <w:sz w:val="24"/>
                <w:szCs w:val="24"/>
              </w:rPr>
            </w:pPr>
            <w:r w:rsidRPr="000B67D9">
              <w:rPr>
                <w:b/>
                <w:sz w:val="24"/>
                <w:szCs w:val="24"/>
              </w:rPr>
              <w:t xml:space="preserve">Regular </w:t>
            </w:r>
          </w:p>
          <w:p w14:paraId="0D8F5AB0" w14:textId="77777777" w:rsidR="00390BB5" w:rsidRPr="000B67D9" w:rsidRDefault="00000000" w:rsidP="000B67D9">
            <w:pPr>
              <w:spacing w:after="0" w:line="240" w:lineRule="auto"/>
              <w:rPr>
                <w:bCs/>
                <w:color w:val="000000"/>
                <w:sz w:val="24"/>
                <w:szCs w:val="24"/>
              </w:rPr>
            </w:pPr>
            <w:r w:rsidRPr="000B67D9">
              <w:rPr>
                <w:bCs/>
                <w:sz w:val="24"/>
                <w:szCs w:val="24"/>
              </w:rPr>
              <w:t>1/30/25</w:t>
            </w:r>
            <w:r w:rsidRPr="000B67D9">
              <w:rPr>
                <w:bCs/>
                <w:color w:val="000000"/>
                <w:sz w:val="24"/>
                <w:szCs w:val="24"/>
              </w:rPr>
              <w:t>-</w:t>
            </w:r>
            <w:r w:rsidRPr="000B67D9">
              <w:rPr>
                <w:bCs/>
                <w:color w:val="000000"/>
                <w:sz w:val="24"/>
                <w:szCs w:val="24"/>
              </w:rPr>
              <w:br/>
            </w:r>
            <w:r w:rsidRPr="000B67D9">
              <w:rPr>
                <w:bCs/>
                <w:sz w:val="24"/>
                <w:szCs w:val="24"/>
              </w:rPr>
              <w:t>3/12/25</w:t>
            </w:r>
          </w:p>
        </w:tc>
        <w:tc>
          <w:tcPr>
            <w:tcW w:w="1185" w:type="dxa"/>
            <w:tcBorders>
              <w:top w:val="single" w:sz="4" w:space="0" w:color="000000"/>
              <w:left w:val="nil"/>
              <w:bottom w:val="single" w:sz="4" w:space="0" w:color="000000"/>
              <w:right w:val="single" w:sz="4" w:space="0" w:color="000000"/>
            </w:tcBorders>
            <w:shd w:val="clear" w:color="auto" w:fill="E7E6E6"/>
            <w:vAlign w:val="bottom"/>
          </w:tcPr>
          <w:p w14:paraId="4F96D1B3" w14:textId="77777777" w:rsidR="00390BB5" w:rsidRDefault="00390BB5" w:rsidP="000B67D9">
            <w:pPr>
              <w:spacing w:after="0" w:line="240" w:lineRule="auto"/>
              <w:rPr>
                <w:b/>
                <w:sz w:val="24"/>
                <w:szCs w:val="24"/>
              </w:rPr>
            </w:pPr>
          </w:p>
          <w:p w14:paraId="67F7AFF8" w14:textId="77777777" w:rsidR="00390BB5" w:rsidRDefault="00000000" w:rsidP="000B67D9">
            <w:pPr>
              <w:spacing w:after="0" w:line="240" w:lineRule="auto"/>
              <w:rPr>
                <w:b/>
                <w:color w:val="000000"/>
                <w:sz w:val="24"/>
                <w:szCs w:val="24"/>
              </w:rPr>
            </w:pPr>
            <w:r w:rsidRPr="000B67D9">
              <w:rPr>
                <w:b/>
                <w:sz w:val="24"/>
                <w:szCs w:val="24"/>
              </w:rPr>
              <w:t xml:space="preserve">Onsite </w:t>
            </w:r>
            <w:r w:rsidRPr="000B67D9">
              <w:rPr>
                <w:bCs/>
                <w:color w:val="000000"/>
                <w:sz w:val="24"/>
                <w:szCs w:val="24"/>
              </w:rPr>
              <w:t>3</w:t>
            </w:r>
            <w:r w:rsidRPr="000B67D9">
              <w:rPr>
                <w:bCs/>
                <w:sz w:val="24"/>
                <w:szCs w:val="24"/>
              </w:rPr>
              <w:t>/26/25-3/29/25</w:t>
            </w:r>
          </w:p>
        </w:tc>
      </w:tr>
      <w:tr w:rsidR="00390BB5" w14:paraId="4917E323" w14:textId="77777777">
        <w:trPr>
          <w:trHeight w:val="300"/>
          <w:jc w:val="center"/>
        </w:trPr>
        <w:tc>
          <w:tcPr>
            <w:tcW w:w="3480" w:type="dxa"/>
            <w:tcBorders>
              <w:top w:val="nil"/>
              <w:left w:val="single" w:sz="4" w:space="0" w:color="000000"/>
              <w:bottom w:val="single" w:sz="4" w:space="0" w:color="000000"/>
              <w:right w:val="single" w:sz="4" w:space="0" w:color="000000"/>
            </w:tcBorders>
            <w:shd w:val="clear" w:color="auto" w:fill="auto"/>
          </w:tcPr>
          <w:p w14:paraId="799B47EC" w14:textId="77777777" w:rsidR="00390BB5" w:rsidRPr="000B67D9" w:rsidRDefault="00000000" w:rsidP="000B67D9">
            <w:pPr>
              <w:spacing w:after="0" w:line="240" w:lineRule="auto"/>
              <w:rPr>
                <w:bCs/>
                <w:sz w:val="24"/>
                <w:szCs w:val="24"/>
              </w:rPr>
            </w:pPr>
            <w:r w:rsidRPr="000B67D9">
              <w:rPr>
                <w:bCs/>
                <w:sz w:val="24"/>
                <w:szCs w:val="24"/>
              </w:rPr>
              <w:t xml:space="preserve">General NCPH Member Rate </w:t>
            </w:r>
          </w:p>
        </w:tc>
        <w:tc>
          <w:tcPr>
            <w:tcW w:w="1335" w:type="dxa"/>
            <w:tcBorders>
              <w:top w:val="nil"/>
              <w:left w:val="nil"/>
              <w:bottom w:val="single" w:sz="4" w:space="0" w:color="000000"/>
              <w:right w:val="single" w:sz="4" w:space="0" w:color="000000"/>
            </w:tcBorders>
            <w:shd w:val="clear" w:color="auto" w:fill="auto"/>
            <w:vAlign w:val="bottom"/>
          </w:tcPr>
          <w:p w14:paraId="552318C0" w14:textId="77777777" w:rsidR="00390BB5" w:rsidRDefault="00000000" w:rsidP="000B67D9">
            <w:pPr>
              <w:spacing w:after="0" w:line="240" w:lineRule="auto"/>
              <w:jc w:val="right"/>
              <w:rPr>
                <w:color w:val="000000"/>
                <w:sz w:val="24"/>
                <w:szCs w:val="24"/>
              </w:rPr>
            </w:pPr>
            <w:r>
              <w:rPr>
                <w:sz w:val="24"/>
                <w:szCs w:val="24"/>
              </w:rPr>
              <w:t>$176</w:t>
            </w:r>
          </w:p>
        </w:tc>
        <w:tc>
          <w:tcPr>
            <w:tcW w:w="1365" w:type="dxa"/>
            <w:tcBorders>
              <w:top w:val="nil"/>
              <w:left w:val="nil"/>
              <w:bottom w:val="single" w:sz="4" w:space="0" w:color="000000"/>
              <w:right w:val="single" w:sz="4" w:space="0" w:color="000000"/>
            </w:tcBorders>
            <w:shd w:val="clear" w:color="auto" w:fill="auto"/>
            <w:vAlign w:val="bottom"/>
          </w:tcPr>
          <w:p w14:paraId="3E796CDE"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176</w:t>
            </w:r>
            <w:r>
              <w:rPr>
                <w:color w:val="000000"/>
                <w:sz w:val="24"/>
                <w:szCs w:val="24"/>
              </w:rPr>
              <w:t xml:space="preserve"> </w:t>
            </w:r>
          </w:p>
        </w:tc>
        <w:tc>
          <w:tcPr>
            <w:tcW w:w="1425" w:type="dxa"/>
            <w:tcBorders>
              <w:top w:val="nil"/>
              <w:left w:val="nil"/>
              <w:bottom w:val="single" w:sz="4" w:space="0" w:color="000000"/>
              <w:right w:val="single" w:sz="4" w:space="0" w:color="000000"/>
            </w:tcBorders>
            <w:shd w:val="clear" w:color="auto" w:fill="auto"/>
            <w:vAlign w:val="bottom"/>
          </w:tcPr>
          <w:p w14:paraId="535268CC"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220</w:t>
            </w:r>
          </w:p>
        </w:tc>
        <w:tc>
          <w:tcPr>
            <w:tcW w:w="1185" w:type="dxa"/>
            <w:tcBorders>
              <w:top w:val="nil"/>
              <w:left w:val="nil"/>
              <w:bottom w:val="single" w:sz="4" w:space="0" w:color="000000"/>
              <w:right w:val="single" w:sz="4" w:space="0" w:color="000000"/>
            </w:tcBorders>
            <w:shd w:val="clear" w:color="auto" w:fill="auto"/>
            <w:vAlign w:val="bottom"/>
          </w:tcPr>
          <w:p w14:paraId="1B8B4662"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240</w:t>
            </w:r>
            <w:r>
              <w:rPr>
                <w:color w:val="000000"/>
                <w:sz w:val="24"/>
                <w:szCs w:val="24"/>
              </w:rPr>
              <w:t xml:space="preserve"> </w:t>
            </w:r>
          </w:p>
        </w:tc>
      </w:tr>
      <w:tr w:rsidR="00390BB5" w14:paraId="18AB64A4" w14:textId="77777777">
        <w:trPr>
          <w:trHeight w:val="300"/>
          <w:jc w:val="center"/>
        </w:trPr>
        <w:tc>
          <w:tcPr>
            <w:tcW w:w="3480" w:type="dxa"/>
            <w:tcBorders>
              <w:top w:val="nil"/>
              <w:left w:val="single" w:sz="4" w:space="0" w:color="000000"/>
              <w:bottom w:val="single" w:sz="4" w:space="0" w:color="000000"/>
              <w:right w:val="single" w:sz="4" w:space="0" w:color="000000"/>
            </w:tcBorders>
            <w:shd w:val="clear" w:color="auto" w:fill="E7E6E6"/>
          </w:tcPr>
          <w:p w14:paraId="34717EC5" w14:textId="77777777" w:rsidR="00390BB5" w:rsidRPr="000B67D9" w:rsidRDefault="00000000" w:rsidP="000B67D9">
            <w:pPr>
              <w:spacing w:after="0" w:line="240" w:lineRule="auto"/>
              <w:rPr>
                <w:bCs/>
                <w:sz w:val="24"/>
                <w:szCs w:val="24"/>
              </w:rPr>
            </w:pPr>
            <w:r w:rsidRPr="000B67D9">
              <w:rPr>
                <w:bCs/>
                <w:sz w:val="24"/>
                <w:szCs w:val="24"/>
              </w:rPr>
              <w:t>General Nonmember Rate</w:t>
            </w:r>
          </w:p>
        </w:tc>
        <w:tc>
          <w:tcPr>
            <w:tcW w:w="1335" w:type="dxa"/>
            <w:tcBorders>
              <w:top w:val="nil"/>
              <w:left w:val="nil"/>
              <w:bottom w:val="single" w:sz="4" w:space="0" w:color="000000"/>
              <w:right w:val="single" w:sz="4" w:space="0" w:color="000000"/>
            </w:tcBorders>
            <w:shd w:val="clear" w:color="auto" w:fill="E7E6E6"/>
            <w:vAlign w:val="bottom"/>
          </w:tcPr>
          <w:p w14:paraId="0119293B" w14:textId="77777777" w:rsidR="00390BB5" w:rsidRDefault="00000000" w:rsidP="000B67D9">
            <w:pPr>
              <w:spacing w:after="0" w:line="240" w:lineRule="auto"/>
              <w:jc w:val="right"/>
              <w:rPr>
                <w:color w:val="000000"/>
                <w:sz w:val="24"/>
                <w:szCs w:val="24"/>
              </w:rPr>
            </w:pPr>
            <w:r>
              <w:rPr>
                <w:sz w:val="24"/>
                <w:szCs w:val="24"/>
              </w:rPr>
              <w:t>$244</w:t>
            </w:r>
          </w:p>
        </w:tc>
        <w:tc>
          <w:tcPr>
            <w:tcW w:w="1365" w:type="dxa"/>
            <w:tcBorders>
              <w:top w:val="nil"/>
              <w:left w:val="nil"/>
              <w:bottom w:val="single" w:sz="4" w:space="0" w:color="000000"/>
              <w:right w:val="single" w:sz="4" w:space="0" w:color="000000"/>
            </w:tcBorders>
            <w:shd w:val="clear" w:color="auto" w:fill="E7E6E6"/>
            <w:vAlign w:val="bottom"/>
          </w:tcPr>
          <w:p w14:paraId="3D4F71DC"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244</w:t>
            </w:r>
          </w:p>
        </w:tc>
        <w:tc>
          <w:tcPr>
            <w:tcW w:w="1425" w:type="dxa"/>
            <w:tcBorders>
              <w:top w:val="nil"/>
              <w:left w:val="nil"/>
              <w:bottom w:val="single" w:sz="4" w:space="0" w:color="000000"/>
              <w:right w:val="single" w:sz="4" w:space="0" w:color="000000"/>
            </w:tcBorders>
            <w:shd w:val="clear" w:color="auto" w:fill="E7E6E6"/>
            <w:vAlign w:val="bottom"/>
          </w:tcPr>
          <w:p w14:paraId="2BCFCBF5"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305</w:t>
            </w:r>
            <w:r>
              <w:rPr>
                <w:color w:val="000000"/>
                <w:sz w:val="24"/>
                <w:szCs w:val="24"/>
              </w:rPr>
              <w:t xml:space="preserve"> </w:t>
            </w:r>
          </w:p>
        </w:tc>
        <w:tc>
          <w:tcPr>
            <w:tcW w:w="1185" w:type="dxa"/>
            <w:tcBorders>
              <w:top w:val="nil"/>
              <w:left w:val="nil"/>
              <w:bottom w:val="single" w:sz="4" w:space="0" w:color="000000"/>
              <w:right w:val="single" w:sz="4" w:space="0" w:color="000000"/>
            </w:tcBorders>
            <w:shd w:val="clear" w:color="auto" w:fill="E7E6E6"/>
            <w:vAlign w:val="bottom"/>
          </w:tcPr>
          <w:p w14:paraId="5DD03C6F"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325</w:t>
            </w:r>
          </w:p>
        </w:tc>
      </w:tr>
      <w:tr w:rsidR="00390BB5" w14:paraId="1F603AA0" w14:textId="77777777">
        <w:trPr>
          <w:trHeight w:val="300"/>
          <w:jc w:val="center"/>
        </w:trPr>
        <w:tc>
          <w:tcPr>
            <w:tcW w:w="3480" w:type="dxa"/>
            <w:tcBorders>
              <w:top w:val="nil"/>
              <w:left w:val="single" w:sz="4" w:space="0" w:color="000000"/>
              <w:bottom w:val="single" w:sz="4" w:space="0" w:color="000000"/>
              <w:right w:val="single" w:sz="4" w:space="0" w:color="000000"/>
            </w:tcBorders>
            <w:shd w:val="clear" w:color="auto" w:fill="auto"/>
          </w:tcPr>
          <w:p w14:paraId="024093CA" w14:textId="77777777" w:rsidR="00390BB5" w:rsidRPr="000B67D9" w:rsidRDefault="00000000" w:rsidP="000B67D9">
            <w:pPr>
              <w:spacing w:after="0" w:line="240" w:lineRule="auto"/>
              <w:rPr>
                <w:bCs/>
                <w:sz w:val="24"/>
                <w:szCs w:val="24"/>
              </w:rPr>
            </w:pPr>
            <w:r w:rsidRPr="000B67D9">
              <w:rPr>
                <w:bCs/>
                <w:sz w:val="24"/>
                <w:szCs w:val="24"/>
              </w:rPr>
              <w:t>Student, Un/Under-Employed, &amp; Community Participant Rate</w:t>
            </w:r>
          </w:p>
        </w:tc>
        <w:tc>
          <w:tcPr>
            <w:tcW w:w="1335" w:type="dxa"/>
            <w:tcBorders>
              <w:top w:val="nil"/>
              <w:left w:val="nil"/>
              <w:bottom w:val="single" w:sz="4" w:space="0" w:color="000000"/>
              <w:right w:val="single" w:sz="4" w:space="0" w:color="000000"/>
            </w:tcBorders>
            <w:shd w:val="clear" w:color="auto" w:fill="auto"/>
            <w:vAlign w:val="bottom"/>
          </w:tcPr>
          <w:p w14:paraId="0272664E" w14:textId="77777777" w:rsidR="00390BB5" w:rsidRDefault="00000000" w:rsidP="000B67D9">
            <w:pPr>
              <w:spacing w:after="0" w:line="240" w:lineRule="auto"/>
              <w:jc w:val="right"/>
              <w:rPr>
                <w:color w:val="000000"/>
                <w:sz w:val="24"/>
                <w:szCs w:val="24"/>
              </w:rPr>
            </w:pPr>
            <w:r>
              <w:rPr>
                <w:sz w:val="24"/>
                <w:szCs w:val="24"/>
              </w:rPr>
              <w:t>$120</w:t>
            </w:r>
          </w:p>
        </w:tc>
        <w:tc>
          <w:tcPr>
            <w:tcW w:w="1365" w:type="dxa"/>
            <w:tcBorders>
              <w:top w:val="nil"/>
              <w:left w:val="nil"/>
              <w:bottom w:val="single" w:sz="4" w:space="0" w:color="000000"/>
              <w:right w:val="single" w:sz="4" w:space="0" w:color="000000"/>
            </w:tcBorders>
            <w:shd w:val="clear" w:color="auto" w:fill="auto"/>
            <w:vAlign w:val="bottom"/>
          </w:tcPr>
          <w:p w14:paraId="79CB8179"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120</w:t>
            </w:r>
            <w:r>
              <w:rPr>
                <w:color w:val="000000"/>
                <w:sz w:val="24"/>
                <w:szCs w:val="24"/>
              </w:rPr>
              <w:t xml:space="preserve"> </w:t>
            </w:r>
          </w:p>
        </w:tc>
        <w:tc>
          <w:tcPr>
            <w:tcW w:w="1425" w:type="dxa"/>
            <w:tcBorders>
              <w:top w:val="nil"/>
              <w:left w:val="nil"/>
              <w:bottom w:val="single" w:sz="4" w:space="0" w:color="000000"/>
              <w:right w:val="single" w:sz="4" w:space="0" w:color="000000"/>
            </w:tcBorders>
            <w:shd w:val="clear" w:color="auto" w:fill="auto"/>
            <w:vAlign w:val="bottom"/>
          </w:tcPr>
          <w:p w14:paraId="0F32E635"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145</w:t>
            </w:r>
            <w:r>
              <w:rPr>
                <w:color w:val="000000"/>
                <w:sz w:val="24"/>
                <w:szCs w:val="24"/>
              </w:rPr>
              <w:t xml:space="preserve"> </w:t>
            </w:r>
          </w:p>
        </w:tc>
        <w:tc>
          <w:tcPr>
            <w:tcW w:w="1185" w:type="dxa"/>
            <w:tcBorders>
              <w:top w:val="nil"/>
              <w:left w:val="nil"/>
              <w:bottom w:val="single" w:sz="4" w:space="0" w:color="000000"/>
              <w:right w:val="single" w:sz="4" w:space="0" w:color="000000"/>
            </w:tcBorders>
            <w:shd w:val="clear" w:color="auto" w:fill="auto"/>
            <w:vAlign w:val="bottom"/>
          </w:tcPr>
          <w:p w14:paraId="2EB636C7"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160</w:t>
            </w:r>
          </w:p>
        </w:tc>
      </w:tr>
      <w:tr w:rsidR="00390BB5" w14:paraId="0E588599" w14:textId="77777777">
        <w:trPr>
          <w:trHeight w:val="300"/>
          <w:jc w:val="center"/>
        </w:trPr>
        <w:tc>
          <w:tcPr>
            <w:tcW w:w="3480" w:type="dxa"/>
            <w:tcBorders>
              <w:top w:val="nil"/>
              <w:left w:val="single" w:sz="4" w:space="0" w:color="000000"/>
              <w:bottom w:val="single" w:sz="4" w:space="0" w:color="000000"/>
              <w:right w:val="single" w:sz="4" w:space="0" w:color="000000"/>
            </w:tcBorders>
            <w:shd w:val="clear" w:color="auto" w:fill="E7E6E6"/>
          </w:tcPr>
          <w:p w14:paraId="49B5C6CB" w14:textId="77777777" w:rsidR="00390BB5" w:rsidRPr="000B67D9" w:rsidRDefault="00000000" w:rsidP="000B67D9">
            <w:pPr>
              <w:spacing w:after="0" w:line="240" w:lineRule="auto"/>
              <w:rPr>
                <w:bCs/>
                <w:sz w:val="24"/>
                <w:szCs w:val="24"/>
              </w:rPr>
            </w:pPr>
            <w:r w:rsidRPr="000B67D9">
              <w:rPr>
                <w:bCs/>
                <w:sz w:val="24"/>
                <w:szCs w:val="24"/>
              </w:rPr>
              <w:t>One Day Rate</w:t>
            </w:r>
          </w:p>
        </w:tc>
        <w:tc>
          <w:tcPr>
            <w:tcW w:w="1335" w:type="dxa"/>
            <w:tcBorders>
              <w:top w:val="nil"/>
              <w:left w:val="nil"/>
              <w:bottom w:val="single" w:sz="4" w:space="0" w:color="000000"/>
              <w:right w:val="single" w:sz="4" w:space="0" w:color="000000"/>
            </w:tcBorders>
            <w:shd w:val="clear" w:color="auto" w:fill="E7E6E6"/>
            <w:vAlign w:val="bottom"/>
          </w:tcPr>
          <w:p w14:paraId="5D983C33" w14:textId="77777777" w:rsidR="00390BB5" w:rsidRDefault="00000000" w:rsidP="000B67D9">
            <w:pPr>
              <w:spacing w:after="0" w:line="240" w:lineRule="auto"/>
              <w:jc w:val="right"/>
              <w:rPr>
                <w:color w:val="000000"/>
                <w:sz w:val="24"/>
                <w:szCs w:val="24"/>
              </w:rPr>
            </w:pPr>
            <w:r>
              <w:rPr>
                <w:sz w:val="24"/>
                <w:szCs w:val="24"/>
              </w:rPr>
              <w:t>$90</w:t>
            </w:r>
          </w:p>
        </w:tc>
        <w:tc>
          <w:tcPr>
            <w:tcW w:w="1365" w:type="dxa"/>
            <w:tcBorders>
              <w:top w:val="nil"/>
              <w:left w:val="nil"/>
              <w:bottom w:val="single" w:sz="4" w:space="0" w:color="000000"/>
              <w:right w:val="single" w:sz="4" w:space="0" w:color="000000"/>
            </w:tcBorders>
            <w:shd w:val="clear" w:color="auto" w:fill="E7E6E6"/>
            <w:vAlign w:val="bottom"/>
          </w:tcPr>
          <w:p w14:paraId="344A644B"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90</w:t>
            </w:r>
            <w:r>
              <w:rPr>
                <w:color w:val="000000"/>
                <w:sz w:val="24"/>
                <w:szCs w:val="24"/>
              </w:rPr>
              <w:t xml:space="preserve"> </w:t>
            </w:r>
          </w:p>
        </w:tc>
        <w:tc>
          <w:tcPr>
            <w:tcW w:w="1425" w:type="dxa"/>
            <w:tcBorders>
              <w:top w:val="nil"/>
              <w:left w:val="nil"/>
              <w:bottom w:val="single" w:sz="4" w:space="0" w:color="000000"/>
              <w:right w:val="single" w:sz="4" w:space="0" w:color="000000"/>
            </w:tcBorders>
            <w:shd w:val="clear" w:color="auto" w:fill="E7E6E6"/>
            <w:vAlign w:val="bottom"/>
          </w:tcPr>
          <w:p w14:paraId="24F65D13"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110</w:t>
            </w:r>
            <w:r>
              <w:rPr>
                <w:color w:val="000000"/>
                <w:sz w:val="24"/>
                <w:szCs w:val="24"/>
              </w:rPr>
              <w:t xml:space="preserve"> </w:t>
            </w:r>
          </w:p>
        </w:tc>
        <w:tc>
          <w:tcPr>
            <w:tcW w:w="1185" w:type="dxa"/>
            <w:tcBorders>
              <w:top w:val="nil"/>
              <w:left w:val="nil"/>
              <w:bottom w:val="single" w:sz="4" w:space="0" w:color="000000"/>
              <w:right w:val="single" w:sz="4" w:space="0" w:color="000000"/>
            </w:tcBorders>
            <w:shd w:val="clear" w:color="auto" w:fill="E7E6E6"/>
            <w:vAlign w:val="bottom"/>
          </w:tcPr>
          <w:p w14:paraId="1A5D74DA" w14:textId="77777777" w:rsidR="00390BB5" w:rsidRDefault="00000000" w:rsidP="000B67D9">
            <w:pPr>
              <w:spacing w:after="0" w:line="240" w:lineRule="auto"/>
              <w:jc w:val="right"/>
              <w:rPr>
                <w:color w:val="000000"/>
                <w:sz w:val="24"/>
                <w:szCs w:val="24"/>
              </w:rPr>
            </w:pPr>
            <w:r>
              <w:rPr>
                <w:color w:val="000000"/>
                <w:sz w:val="24"/>
                <w:szCs w:val="24"/>
              </w:rPr>
              <w:t>$1</w:t>
            </w:r>
            <w:r>
              <w:rPr>
                <w:sz w:val="24"/>
                <w:szCs w:val="24"/>
              </w:rPr>
              <w:t>20</w:t>
            </w:r>
            <w:r>
              <w:rPr>
                <w:color w:val="000000"/>
                <w:sz w:val="24"/>
                <w:szCs w:val="24"/>
              </w:rPr>
              <w:t xml:space="preserve"> </w:t>
            </w:r>
          </w:p>
        </w:tc>
      </w:tr>
      <w:tr w:rsidR="00390BB5" w14:paraId="3028D111" w14:textId="77777777">
        <w:trPr>
          <w:trHeight w:val="300"/>
          <w:jc w:val="center"/>
        </w:trPr>
        <w:tc>
          <w:tcPr>
            <w:tcW w:w="3480" w:type="dxa"/>
            <w:tcBorders>
              <w:top w:val="nil"/>
              <w:left w:val="single" w:sz="4" w:space="0" w:color="000000"/>
              <w:bottom w:val="single" w:sz="4" w:space="0" w:color="000000"/>
              <w:right w:val="single" w:sz="4" w:space="0" w:color="000000"/>
            </w:tcBorders>
            <w:shd w:val="clear" w:color="auto" w:fill="auto"/>
          </w:tcPr>
          <w:p w14:paraId="7509ED1C" w14:textId="77777777" w:rsidR="00390BB5" w:rsidRPr="000B67D9" w:rsidRDefault="00000000" w:rsidP="000B67D9">
            <w:pPr>
              <w:spacing w:after="0" w:line="240" w:lineRule="auto"/>
              <w:rPr>
                <w:bCs/>
                <w:sz w:val="24"/>
                <w:szCs w:val="24"/>
              </w:rPr>
            </w:pPr>
            <w:r w:rsidRPr="000B67D9">
              <w:rPr>
                <w:bCs/>
                <w:sz w:val="24"/>
                <w:szCs w:val="24"/>
              </w:rPr>
              <w:t>Guest Rate</w:t>
            </w:r>
          </w:p>
        </w:tc>
        <w:tc>
          <w:tcPr>
            <w:tcW w:w="1335" w:type="dxa"/>
            <w:tcBorders>
              <w:top w:val="nil"/>
              <w:left w:val="nil"/>
              <w:bottom w:val="single" w:sz="4" w:space="0" w:color="000000"/>
              <w:right w:val="single" w:sz="4" w:space="0" w:color="000000"/>
            </w:tcBorders>
            <w:shd w:val="clear" w:color="auto" w:fill="auto"/>
            <w:vAlign w:val="bottom"/>
          </w:tcPr>
          <w:p w14:paraId="18DA43A9" w14:textId="77777777" w:rsidR="00390BB5" w:rsidRDefault="00000000" w:rsidP="000B67D9">
            <w:pPr>
              <w:spacing w:after="0" w:line="240" w:lineRule="auto"/>
              <w:jc w:val="right"/>
              <w:rPr>
                <w:color w:val="000000"/>
                <w:sz w:val="24"/>
                <w:szCs w:val="24"/>
              </w:rPr>
            </w:pPr>
            <w:r>
              <w:rPr>
                <w:sz w:val="24"/>
                <w:szCs w:val="24"/>
              </w:rPr>
              <w:t>$50</w:t>
            </w:r>
          </w:p>
        </w:tc>
        <w:tc>
          <w:tcPr>
            <w:tcW w:w="1365" w:type="dxa"/>
            <w:tcBorders>
              <w:top w:val="nil"/>
              <w:left w:val="nil"/>
              <w:bottom w:val="single" w:sz="4" w:space="0" w:color="000000"/>
              <w:right w:val="single" w:sz="4" w:space="0" w:color="000000"/>
            </w:tcBorders>
            <w:shd w:val="clear" w:color="auto" w:fill="auto"/>
            <w:vAlign w:val="bottom"/>
          </w:tcPr>
          <w:p w14:paraId="086260DF"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50</w:t>
            </w:r>
          </w:p>
        </w:tc>
        <w:tc>
          <w:tcPr>
            <w:tcW w:w="1425" w:type="dxa"/>
            <w:tcBorders>
              <w:top w:val="nil"/>
              <w:left w:val="nil"/>
              <w:bottom w:val="single" w:sz="4" w:space="0" w:color="000000"/>
              <w:right w:val="single" w:sz="4" w:space="0" w:color="000000"/>
            </w:tcBorders>
            <w:shd w:val="clear" w:color="auto" w:fill="auto"/>
            <w:vAlign w:val="bottom"/>
          </w:tcPr>
          <w:p w14:paraId="412B0083"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50</w:t>
            </w:r>
            <w:r>
              <w:rPr>
                <w:color w:val="000000"/>
                <w:sz w:val="24"/>
                <w:szCs w:val="24"/>
              </w:rPr>
              <w:t xml:space="preserve"> </w:t>
            </w:r>
          </w:p>
        </w:tc>
        <w:tc>
          <w:tcPr>
            <w:tcW w:w="1185" w:type="dxa"/>
            <w:tcBorders>
              <w:top w:val="nil"/>
              <w:left w:val="nil"/>
              <w:bottom w:val="single" w:sz="4" w:space="0" w:color="000000"/>
              <w:right w:val="single" w:sz="4" w:space="0" w:color="000000"/>
            </w:tcBorders>
            <w:shd w:val="clear" w:color="auto" w:fill="auto"/>
            <w:vAlign w:val="bottom"/>
          </w:tcPr>
          <w:p w14:paraId="29BF6F98" w14:textId="77777777" w:rsidR="00390BB5" w:rsidRDefault="00000000" w:rsidP="000B67D9">
            <w:pPr>
              <w:spacing w:after="0" w:line="240" w:lineRule="auto"/>
              <w:jc w:val="right"/>
              <w:rPr>
                <w:color w:val="000000"/>
                <w:sz w:val="24"/>
                <w:szCs w:val="24"/>
              </w:rPr>
            </w:pPr>
            <w:r>
              <w:rPr>
                <w:color w:val="000000"/>
                <w:sz w:val="24"/>
                <w:szCs w:val="24"/>
              </w:rPr>
              <w:t>$</w:t>
            </w:r>
            <w:r>
              <w:rPr>
                <w:sz w:val="24"/>
                <w:szCs w:val="24"/>
              </w:rPr>
              <w:t>65</w:t>
            </w:r>
          </w:p>
        </w:tc>
      </w:tr>
    </w:tbl>
    <w:p w14:paraId="28E95185" w14:textId="094E6D06" w:rsidR="00390BB5" w:rsidRPr="000B67D9" w:rsidRDefault="000B67D9" w:rsidP="000B67D9">
      <w:pPr>
        <w:pStyle w:val="Heading2"/>
        <w:spacing w:line="240" w:lineRule="auto"/>
        <w:rPr>
          <w:sz w:val="32"/>
          <w:szCs w:val="32"/>
        </w:rPr>
      </w:pPr>
      <w:r w:rsidRPr="000B67D9">
        <w:rPr>
          <w:sz w:val="32"/>
          <w:szCs w:val="32"/>
        </w:rPr>
        <w:t xml:space="preserve">Frequently Asked Questions </w:t>
      </w:r>
    </w:p>
    <w:p w14:paraId="1E0E4361" w14:textId="77777777" w:rsidR="000B67D9" w:rsidRPr="000B67D9" w:rsidRDefault="00000000" w:rsidP="000B67D9">
      <w:pPr>
        <w:pStyle w:val="Heading3"/>
        <w:spacing w:line="240" w:lineRule="auto"/>
        <w:rPr>
          <w:sz w:val="24"/>
          <w:szCs w:val="24"/>
        </w:rPr>
      </w:pPr>
      <w:r w:rsidRPr="000B67D9">
        <w:rPr>
          <w:sz w:val="24"/>
          <w:szCs w:val="24"/>
        </w:rPr>
        <w:t>Q1: When do I need to register?</w:t>
      </w:r>
    </w:p>
    <w:p w14:paraId="19E914B7" w14:textId="310EC9DF" w:rsidR="00390BB5" w:rsidRDefault="00000000" w:rsidP="000B67D9">
      <w:pPr>
        <w:spacing w:line="240" w:lineRule="auto"/>
      </w:pPr>
      <w:r>
        <w:rPr>
          <w:b/>
        </w:rPr>
        <w:t xml:space="preserve">A1: </w:t>
      </w:r>
      <w:r>
        <w:t xml:space="preserve">The presenter registration deadline is </w:t>
      </w:r>
      <w:r>
        <w:rPr>
          <w:b/>
        </w:rPr>
        <w:t>November 1, 2024.</w:t>
      </w:r>
      <w:r>
        <w:t xml:space="preserve"> If you need an extension to this deadline, please email NCPH Program Manager Meghan Hillman at </w:t>
      </w:r>
      <w:hyperlink r:id="rId6">
        <w:r>
          <w:rPr>
            <w:color w:val="0563C1"/>
            <w:u w:val="single"/>
          </w:rPr>
          <w:t>meghillm@iu.edu</w:t>
        </w:r>
      </w:hyperlink>
      <w:r>
        <w:t xml:space="preserve">. </w:t>
      </w:r>
    </w:p>
    <w:p w14:paraId="23B280EA" w14:textId="77777777" w:rsidR="000B67D9" w:rsidRPr="000B67D9" w:rsidRDefault="00000000" w:rsidP="000B67D9">
      <w:pPr>
        <w:pStyle w:val="Heading3"/>
        <w:spacing w:line="240" w:lineRule="auto"/>
        <w:rPr>
          <w:sz w:val="24"/>
          <w:szCs w:val="24"/>
        </w:rPr>
      </w:pPr>
      <w:r w:rsidRPr="000B67D9">
        <w:rPr>
          <w:sz w:val="24"/>
          <w:szCs w:val="24"/>
        </w:rPr>
        <w:t xml:space="preserve">Q2: Where do I register? </w:t>
      </w:r>
    </w:p>
    <w:p w14:paraId="28F6A921" w14:textId="77777777" w:rsidR="000B67D9" w:rsidRDefault="00000000" w:rsidP="000B67D9">
      <w:pPr>
        <w:spacing w:line="240" w:lineRule="auto"/>
      </w:pPr>
      <w:r>
        <w:rPr>
          <w:b/>
        </w:rPr>
        <w:t>A2:</w:t>
      </w:r>
      <w:r>
        <w:t xml:space="preserve"> Find presenter registration at </w:t>
      </w:r>
      <w:hyperlink r:id="rId7">
        <w:r>
          <w:rPr>
            <w:color w:val="1155CC"/>
            <w:u w:val="single"/>
          </w:rPr>
          <w:t>https://community.ncph.org/event/NCPH2025</w:t>
        </w:r>
      </w:hyperlink>
      <w:r>
        <w:t xml:space="preserve">. </w:t>
      </w:r>
    </w:p>
    <w:p w14:paraId="516BCCDE" w14:textId="5B2EAED9" w:rsidR="000B67D9" w:rsidRPr="000B67D9" w:rsidRDefault="00000000" w:rsidP="000B67D9">
      <w:pPr>
        <w:pStyle w:val="Heading3"/>
        <w:spacing w:line="240" w:lineRule="auto"/>
        <w:rPr>
          <w:sz w:val="24"/>
          <w:szCs w:val="24"/>
        </w:rPr>
      </w:pPr>
      <w:r w:rsidRPr="000B67D9">
        <w:rPr>
          <w:sz w:val="24"/>
          <w:szCs w:val="24"/>
        </w:rPr>
        <w:t>Q3: How do I know which registration rate is the correct one?</w:t>
      </w:r>
    </w:p>
    <w:p w14:paraId="1DCC6934" w14:textId="799482D3" w:rsidR="00390BB5" w:rsidRDefault="00000000" w:rsidP="000B67D9">
      <w:pPr>
        <w:spacing w:line="240" w:lineRule="auto"/>
      </w:pPr>
      <w:r>
        <w:rPr>
          <w:b/>
        </w:rPr>
        <w:t xml:space="preserve">A3: </w:t>
      </w:r>
      <w:r>
        <w:t xml:space="preserve">Here’s a brief guide to the registration rates:  </w:t>
      </w:r>
    </w:p>
    <w:p w14:paraId="45ECB69F" w14:textId="77777777" w:rsidR="00390BB5" w:rsidRDefault="00000000" w:rsidP="000B67D9">
      <w:pPr>
        <w:numPr>
          <w:ilvl w:val="0"/>
          <w:numId w:val="1"/>
        </w:numPr>
        <w:pBdr>
          <w:top w:val="nil"/>
          <w:left w:val="nil"/>
          <w:bottom w:val="nil"/>
          <w:right w:val="nil"/>
          <w:between w:val="nil"/>
        </w:pBdr>
        <w:spacing w:after="0" w:line="240" w:lineRule="auto"/>
      </w:pPr>
      <w:r>
        <w:rPr>
          <w:color w:val="000000"/>
        </w:rPr>
        <w:t xml:space="preserve">If you’re an NCPH member, register using the </w:t>
      </w:r>
      <w:r>
        <w:rPr>
          <w:b/>
          <w:color w:val="000000"/>
        </w:rPr>
        <w:t>NCPH 2025 General Registration</w:t>
      </w:r>
      <w:r>
        <w:rPr>
          <w:color w:val="000000"/>
        </w:rPr>
        <w:t xml:space="preserve"> rate. </w:t>
      </w:r>
      <w:proofErr w:type="gramStart"/>
      <w:r>
        <w:rPr>
          <w:color w:val="000000"/>
        </w:rPr>
        <w:t>As long as</w:t>
      </w:r>
      <w:proofErr w:type="gramEnd"/>
      <w:r>
        <w:rPr>
          <w:color w:val="000000"/>
        </w:rPr>
        <w:t xml:space="preserve"> you are logged into your member account, you will automatically be charged the rate that is appropriate for your membership level. Email </w:t>
      </w:r>
      <w:hyperlink r:id="rId8">
        <w:r>
          <w:rPr>
            <w:color w:val="1155CC"/>
            <w:u w:val="single"/>
          </w:rPr>
          <w:t>ncph@iu.edu</w:t>
        </w:r>
      </w:hyperlink>
      <w:r>
        <w:rPr>
          <w:color w:val="000000"/>
        </w:rPr>
        <w:t xml:space="preserve"> if you need help getting into your member account</w:t>
      </w:r>
      <w:r>
        <w:t>.</w:t>
      </w:r>
      <w:r>
        <w:rPr>
          <w:color w:val="000000"/>
        </w:rPr>
        <w:t xml:space="preserve"> </w:t>
      </w:r>
    </w:p>
    <w:p w14:paraId="2526DD96" w14:textId="77777777" w:rsidR="00390BB5" w:rsidRDefault="00000000" w:rsidP="000B67D9">
      <w:pPr>
        <w:numPr>
          <w:ilvl w:val="0"/>
          <w:numId w:val="1"/>
        </w:numPr>
        <w:pBdr>
          <w:top w:val="nil"/>
          <w:left w:val="nil"/>
          <w:bottom w:val="nil"/>
          <w:right w:val="nil"/>
          <w:between w:val="nil"/>
        </w:pBdr>
        <w:spacing w:after="0" w:line="240" w:lineRule="auto"/>
      </w:pPr>
      <w:r>
        <w:rPr>
          <w:color w:val="000000"/>
        </w:rPr>
        <w:t xml:space="preserve">If you’re not an NCPH member but you are secure in your public history employment, select the </w:t>
      </w:r>
      <w:r>
        <w:rPr>
          <w:b/>
          <w:color w:val="000000"/>
        </w:rPr>
        <w:t>NCPH 2025 General Registration</w:t>
      </w:r>
      <w:r>
        <w:rPr>
          <w:color w:val="000000"/>
        </w:rPr>
        <w:t xml:space="preserve"> rate to pay the general nonmember rate. (We are grateful </w:t>
      </w:r>
      <w:r>
        <w:t>to those</w:t>
      </w:r>
      <w:r>
        <w:rPr>
          <w:color w:val="000000"/>
        </w:rPr>
        <w:t xml:space="preserve"> who pay full price for registration, as it helps us subsidize the reduced rate for our most vulnerable attendees!) </w:t>
      </w:r>
    </w:p>
    <w:p w14:paraId="5F0F8594" w14:textId="77777777" w:rsidR="00390BB5" w:rsidRDefault="00000000" w:rsidP="000B67D9">
      <w:pPr>
        <w:numPr>
          <w:ilvl w:val="0"/>
          <w:numId w:val="1"/>
        </w:numPr>
        <w:pBdr>
          <w:top w:val="nil"/>
          <w:left w:val="nil"/>
          <w:bottom w:val="nil"/>
          <w:right w:val="nil"/>
          <w:between w:val="nil"/>
        </w:pBdr>
        <w:spacing w:after="0" w:line="240" w:lineRule="auto"/>
      </w:pPr>
      <w:r>
        <w:rPr>
          <w:color w:val="000000"/>
        </w:rPr>
        <w:t xml:space="preserve">If you are not a member but you are one of the following: a student; unemployed or employed part-time; not secure in your public history employment; or </w:t>
      </w:r>
      <w:proofErr w:type="gramStart"/>
      <w:r>
        <w:rPr>
          <w:color w:val="000000"/>
        </w:rPr>
        <w:t>you work</w:t>
      </w:r>
      <w:proofErr w:type="gramEnd"/>
      <w:r>
        <w:rPr>
          <w:color w:val="000000"/>
        </w:rPr>
        <w:t xml:space="preserve"> outside the public history and history fields, we welcome you to avail yourself of the reduced </w:t>
      </w:r>
      <w:r>
        <w:rPr>
          <w:b/>
          <w:color w:val="000000"/>
        </w:rPr>
        <w:t xml:space="preserve">Nonmember Student, Un/Underemployed, and Community Participant </w:t>
      </w:r>
      <w:r>
        <w:rPr>
          <w:color w:val="000000"/>
        </w:rPr>
        <w:t xml:space="preserve">rate. </w:t>
      </w:r>
    </w:p>
    <w:p w14:paraId="7184608B" w14:textId="67E44C68" w:rsidR="00390BB5" w:rsidRDefault="00000000" w:rsidP="000B67D9">
      <w:pPr>
        <w:numPr>
          <w:ilvl w:val="0"/>
          <w:numId w:val="1"/>
        </w:numPr>
        <w:pBdr>
          <w:top w:val="nil"/>
          <w:left w:val="nil"/>
          <w:bottom w:val="nil"/>
          <w:right w:val="nil"/>
          <w:between w:val="nil"/>
        </w:pBdr>
        <w:spacing w:after="0" w:line="240" w:lineRule="auto"/>
      </w:pPr>
      <w:r>
        <w:rPr>
          <w:color w:val="000000"/>
        </w:rPr>
        <w:t>If you only plan to attend for one day of the conference</w:t>
      </w:r>
      <w:r>
        <w:t xml:space="preserve">, </w:t>
      </w:r>
      <w:r>
        <w:rPr>
          <w:color w:val="000000"/>
        </w:rPr>
        <w:t xml:space="preserve">likely your date of presentation, use the </w:t>
      </w:r>
      <w:r>
        <w:rPr>
          <w:b/>
          <w:color w:val="000000"/>
        </w:rPr>
        <w:t xml:space="preserve">2025 One Day </w:t>
      </w:r>
      <w:r>
        <w:rPr>
          <w:color w:val="000000"/>
        </w:rPr>
        <w:t xml:space="preserve">rate. If you know which day, specify that on the registration form. If you don’t know yet what day you’re presenting, you can leave it </w:t>
      </w:r>
      <w:proofErr w:type="gramStart"/>
      <w:r w:rsidR="000B67D9">
        <w:rPr>
          <w:color w:val="000000"/>
        </w:rPr>
        <w:t>blank</w:t>
      </w:r>
      <w:proofErr w:type="gramEnd"/>
      <w:r>
        <w:rPr>
          <w:color w:val="000000"/>
        </w:rPr>
        <w:t xml:space="preserve"> and we will fill it out for you. </w:t>
      </w:r>
    </w:p>
    <w:p w14:paraId="3BD6D06C" w14:textId="77777777" w:rsidR="000B67D9" w:rsidRPr="000B67D9" w:rsidRDefault="00000000" w:rsidP="000B67D9">
      <w:pPr>
        <w:numPr>
          <w:ilvl w:val="0"/>
          <w:numId w:val="1"/>
        </w:numPr>
        <w:pBdr>
          <w:top w:val="nil"/>
          <w:left w:val="nil"/>
          <w:bottom w:val="nil"/>
          <w:right w:val="nil"/>
          <w:between w:val="nil"/>
        </w:pBdr>
        <w:spacing w:line="240" w:lineRule="auto"/>
      </w:pPr>
      <w:r>
        <w:rPr>
          <w:color w:val="000000"/>
        </w:rPr>
        <w:lastRenderedPageBreak/>
        <w:t xml:space="preserve">If you’re bringing a </w:t>
      </w:r>
      <w:r>
        <w:rPr>
          <w:b/>
          <w:color w:val="000000"/>
        </w:rPr>
        <w:t xml:space="preserve">guest </w:t>
      </w:r>
      <w:r>
        <w:rPr>
          <w:color w:val="000000"/>
        </w:rPr>
        <w:t>with you—a spouse, partner, friend, kid, etc.</w:t>
      </w:r>
      <w:r>
        <w:t xml:space="preserve"> </w:t>
      </w:r>
      <w:r>
        <w:rPr>
          <w:color w:val="000000"/>
        </w:rPr>
        <w:t>who is not a public historian and is just there to accompany you, but may want to check out a session or two or join you on a tour—</w:t>
      </w:r>
      <w:r>
        <w:t xml:space="preserve">please email </w:t>
      </w:r>
      <w:hyperlink r:id="rId9">
        <w:r>
          <w:rPr>
            <w:color w:val="1155CC"/>
            <w:u w:val="single"/>
          </w:rPr>
          <w:t>ncph@iu.edu</w:t>
        </w:r>
      </w:hyperlink>
      <w:r>
        <w:t xml:space="preserve">. We’ll send you a link to a separate form and your guest can fill that out (or </w:t>
      </w:r>
      <w:r>
        <w:rPr>
          <w:color w:val="000000"/>
        </w:rPr>
        <w:t xml:space="preserve">you fill </w:t>
      </w:r>
      <w:r>
        <w:t xml:space="preserve">it out for them) and add any special events they’ll join you for. </w:t>
      </w:r>
    </w:p>
    <w:p w14:paraId="3F0F2BBA" w14:textId="61D82380" w:rsidR="000B67D9" w:rsidRPr="000B67D9" w:rsidRDefault="00000000" w:rsidP="000B67D9">
      <w:pPr>
        <w:pStyle w:val="Heading3"/>
        <w:spacing w:line="240" w:lineRule="auto"/>
        <w:rPr>
          <w:sz w:val="24"/>
          <w:szCs w:val="24"/>
        </w:rPr>
      </w:pPr>
      <w:r w:rsidRPr="000B67D9">
        <w:rPr>
          <w:sz w:val="24"/>
          <w:szCs w:val="24"/>
        </w:rPr>
        <w:t xml:space="preserve">Q4: What does my registration cover? </w:t>
      </w:r>
    </w:p>
    <w:p w14:paraId="77F565FB" w14:textId="0176A11B" w:rsidR="00390BB5" w:rsidRDefault="00000000" w:rsidP="000B67D9">
      <w:pPr>
        <w:spacing w:line="240" w:lineRule="auto"/>
      </w:pPr>
      <w:r>
        <w:rPr>
          <w:b/>
        </w:rPr>
        <w:t xml:space="preserve">A4: </w:t>
      </w:r>
      <w:r>
        <w:t xml:space="preserve">You’ll get access to all concurrent sessions at the conference in Montréal; access to all working group sessions that are open to attendees; access to the Montréal exhibit hall; access to all common networking spaces; and entrance to any free and open events like the Poster Session and our public plenary. This covers </w:t>
      </w:r>
      <w:proofErr w:type="gramStart"/>
      <w:r>
        <w:t>the majority of</w:t>
      </w:r>
      <w:proofErr w:type="gramEnd"/>
      <w:r>
        <w:t xml:space="preserve"> conference content! </w:t>
      </w:r>
    </w:p>
    <w:p w14:paraId="02FBC494" w14:textId="77777777" w:rsidR="000B67D9" w:rsidRDefault="00000000" w:rsidP="000B67D9">
      <w:pPr>
        <w:spacing w:line="240" w:lineRule="auto"/>
      </w:pPr>
      <w:r>
        <w:t xml:space="preserve">What it excludes: workshops, tours, and select ticketed events must be added on to your registration separately. Some of these have additional fees because we need to cover additional costs; others are free, but we need to get an accurate headcount for food and beverage orders and room capacities.  </w:t>
      </w:r>
    </w:p>
    <w:p w14:paraId="750326B2" w14:textId="03B46822" w:rsidR="000B67D9" w:rsidRPr="000B67D9" w:rsidRDefault="00000000" w:rsidP="000B67D9">
      <w:pPr>
        <w:pStyle w:val="Heading3"/>
        <w:spacing w:line="240" w:lineRule="auto"/>
        <w:rPr>
          <w:sz w:val="24"/>
          <w:szCs w:val="24"/>
        </w:rPr>
      </w:pPr>
      <w:r w:rsidRPr="000B67D9">
        <w:rPr>
          <w:sz w:val="24"/>
          <w:szCs w:val="24"/>
        </w:rPr>
        <w:t>Q</w:t>
      </w:r>
      <w:r w:rsidR="000B67D9" w:rsidRPr="000B67D9">
        <w:rPr>
          <w:sz w:val="24"/>
          <w:szCs w:val="24"/>
        </w:rPr>
        <w:t>5</w:t>
      </w:r>
      <w:r w:rsidRPr="000B67D9">
        <w:rPr>
          <w:sz w:val="24"/>
          <w:szCs w:val="24"/>
        </w:rPr>
        <w:t xml:space="preserve">:  What if I want to pay for the registrations of several presenters on my session? Or, what if multiple presenters on my session are from the same institution and our employer wants to pay for all of us in one payment? </w:t>
      </w:r>
    </w:p>
    <w:p w14:paraId="24C13956" w14:textId="25B81F18" w:rsidR="000B67D9" w:rsidRDefault="00000000" w:rsidP="000B67D9">
      <w:pPr>
        <w:spacing w:before="260" w:after="260" w:line="240" w:lineRule="auto"/>
      </w:pPr>
      <w:r>
        <w:rPr>
          <w:b/>
        </w:rPr>
        <w:t>A</w:t>
      </w:r>
      <w:r w:rsidR="000B67D9">
        <w:rPr>
          <w:b/>
        </w:rPr>
        <w:t>5</w:t>
      </w:r>
      <w:r>
        <w:rPr>
          <w:b/>
        </w:rPr>
        <w:t xml:space="preserve">: </w:t>
      </w:r>
      <w:r>
        <w:t xml:space="preserve">This is what we call a group registration, and we can arrange it! Instead of registering via the online portal, please email Program Manager Meghan Hillman at </w:t>
      </w:r>
      <w:hyperlink r:id="rId10">
        <w:r>
          <w:rPr>
            <w:color w:val="0563C1"/>
            <w:u w:val="single"/>
          </w:rPr>
          <w:t>meghillm@iu.edu</w:t>
        </w:r>
      </w:hyperlink>
      <w:r>
        <w:t xml:space="preserve">. You’ll be directed to a separate form where you can provide your registration information without immediate </w:t>
      </w:r>
      <w:r w:rsidR="000B67D9">
        <w:t>payment and</w:t>
      </w:r>
      <w:r>
        <w:t xml:space="preserve"> give us instructions for who to invoice for the group and how they’d like to pay.  </w:t>
      </w:r>
    </w:p>
    <w:p w14:paraId="52B28DCB" w14:textId="6741F0EA" w:rsidR="000B67D9" w:rsidRPr="000B67D9" w:rsidRDefault="00000000" w:rsidP="000B67D9">
      <w:pPr>
        <w:pStyle w:val="Heading3"/>
        <w:spacing w:line="240" w:lineRule="auto"/>
        <w:rPr>
          <w:sz w:val="24"/>
          <w:szCs w:val="24"/>
        </w:rPr>
      </w:pPr>
      <w:r w:rsidRPr="000B67D9">
        <w:rPr>
          <w:sz w:val="24"/>
          <w:szCs w:val="24"/>
        </w:rPr>
        <w:t>Q</w:t>
      </w:r>
      <w:r w:rsidR="000B67D9" w:rsidRPr="000B67D9">
        <w:rPr>
          <w:sz w:val="24"/>
          <w:szCs w:val="24"/>
        </w:rPr>
        <w:t>6</w:t>
      </w:r>
      <w:r w:rsidRPr="000B67D9">
        <w:rPr>
          <w:sz w:val="24"/>
          <w:szCs w:val="24"/>
        </w:rPr>
        <w:t>: How can I add a tour or event to my registration later?</w:t>
      </w:r>
    </w:p>
    <w:p w14:paraId="76760B49" w14:textId="207D4231" w:rsidR="00390BB5" w:rsidRDefault="00000000" w:rsidP="000B67D9">
      <w:pPr>
        <w:spacing w:before="260" w:after="260" w:line="240" w:lineRule="auto"/>
      </w:pPr>
      <w:r>
        <w:rPr>
          <w:b/>
        </w:rPr>
        <w:t>A</w:t>
      </w:r>
      <w:r w:rsidR="000B67D9">
        <w:rPr>
          <w:b/>
        </w:rPr>
        <w:t>6</w:t>
      </w:r>
      <w:r>
        <w:rPr>
          <w:b/>
        </w:rPr>
        <w:t xml:space="preserve">: </w:t>
      </w:r>
      <w:r>
        <w:t xml:space="preserve">We anticipate that tours will be added to the registration system by October 10, 2024. It’s also likely that more workshops and events will be added between now and the general registration opening date of November 1. In email communications with </w:t>
      </w:r>
      <w:r w:rsidR="000B67D9">
        <w:t>presenters,</w:t>
      </w:r>
      <w:r>
        <w:t xml:space="preserve"> we’ll let you know when there are additions so you can add them to your registration. </w:t>
      </w:r>
    </w:p>
    <w:p w14:paraId="299BF0D9" w14:textId="77777777" w:rsidR="00390BB5" w:rsidRDefault="00000000" w:rsidP="000B67D9">
      <w:pPr>
        <w:spacing w:line="240" w:lineRule="auto"/>
      </w:pPr>
      <w:r>
        <w:t xml:space="preserve">To add something to your existing registration, log into your account via </w:t>
      </w:r>
      <w:hyperlink r:id="rId11">
        <w:r>
          <w:rPr>
            <w:color w:val="1155CC"/>
            <w:u w:val="single"/>
          </w:rPr>
          <w:t>https://community.ncph.org/</w:t>
        </w:r>
      </w:hyperlink>
      <w:r>
        <w:t xml:space="preserve">, click “Manage Profile” on the right-hand sidebar, navigate to “Payments and History” from the selections along the left-hand side, and then click “Event Registrations.” This will show you what you’ve already registered for, and by clicking the pencil to the left of the 2025 Annual Meeting you can add additional events and pay for them. </w:t>
      </w:r>
    </w:p>
    <w:p w14:paraId="1CF45DA4" w14:textId="77777777" w:rsidR="000B67D9" w:rsidRDefault="00000000" w:rsidP="000B67D9">
      <w:pPr>
        <w:spacing w:line="240" w:lineRule="auto"/>
      </w:pPr>
      <w:r>
        <w:t xml:space="preserve">If you experience any issues with this process, you can also email </w:t>
      </w:r>
      <w:hyperlink r:id="rId12">
        <w:r>
          <w:rPr>
            <w:color w:val="1155CC"/>
            <w:u w:val="single"/>
          </w:rPr>
          <w:t>ncph@iu.edu</w:t>
        </w:r>
      </w:hyperlink>
      <w:r>
        <w:t xml:space="preserve"> and we will add events to your registration on your behalf and invoice you for them. </w:t>
      </w:r>
    </w:p>
    <w:p w14:paraId="12ADCE0F" w14:textId="5EAB1140" w:rsidR="000B67D9" w:rsidRPr="000B67D9" w:rsidRDefault="00000000" w:rsidP="000B67D9">
      <w:pPr>
        <w:pStyle w:val="Heading3"/>
        <w:spacing w:line="240" w:lineRule="auto"/>
        <w:rPr>
          <w:sz w:val="24"/>
          <w:szCs w:val="24"/>
        </w:rPr>
      </w:pPr>
      <w:r w:rsidRPr="000B67D9">
        <w:rPr>
          <w:sz w:val="24"/>
          <w:szCs w:val="24"/>
        </w:rPr>
        <w:t>Q</w:t>
      </w:r>
      <w:r w:rsidR="000B67D9" w:rsidRPr="000B67D9">
        <w:rPr>
          <w:sz w:val="24"/>
          <w:szCs w:val="24"/>
        </w:rPr>
        <w:t>7</w:t>
      </w:r>
      <w:r w:rsidRPr="000B67D9">
        <w:rPr>
          <w:sz w:val="24"/>
          <w:szCs w:val="24"/>
        </w:rPr>
        <w:t>: Can I purchase a membership and register for the conference at the same time?</w:t>
      </w:r>
    </w:p>
    <w:p w14:paraId="1B86729D" w14:textId="15E62983" w:rsidR="000B67D9" w:rsidRDefault="00000000" w:rsidP="000B67D9">
      <w:pPr>
        <w:spacing w:line="240" w:lineRule="auto"/>
      </w:pPr>
      <w:r>
        <w:rPr>
          <w:b/>
        </w:rPr>
        <w:t>A</w:t>
      </w:r>
      <w:r w:rsidR="000B67D9">
        <w:rPr>
          <w:b/>
        </w:rPr>
        <w:t>7</w:t>
      </w:r>
      <w:r>
        <w:rPr>
          <w:b/>
        </w:rPr>
        <w:t xml:space="preserve">: </w:t>
      </w:r>
      <w:r>
        <w:t xml:space="preserve">Yes! If you are not already logged in but click “Register,” a page will open prompting you to login. If you are eligible to renew (you can renew up to 90 days before your expiration date, and </w:t>
      </w:r>
      <w:proofErr w:type="spellStart"/>
      <w:r>
        <w:t>anytime</w:t>
      </w:r>
      <w:proofErr w:type="spellEnd"/>
      <w:r>
        <w:t xml:space="preserve"> after), the system will then ask if you’d like to also renew your membership. If you elect to do so, an invoice will be generated for your </w:t>
      </w:r>
      <w:r>
        <w:rPr>
          <w:i/>
        </w:rPr>
        <w:t>current</w:t>
      </w:r>
      <w:r>
        <w:t xml:space="preserve"> membership level. For example, if you are an Individual member you will renew at the Individual level. If you’d like to move up a level, such as to Sustaining, you must renew separately (with our thanks for your added support for our work and community). Once you select to </w:t>
      </w:r>
      <w:r>
        <w:lastRenderedPageBreak/>
        <w:t>continue, you’ll be taken through the registration form and your membership renewal will be added to your store cart. You will purchase it all together at the end, and two invoices will be generated: one for your conference registration, and one for your membership renewal.</w:t>
      </w:r>
    </w:p>
    <w:p w14:paraId="6E3D37F9" w14:textId="7A9D8ADB" w:rsidR="000B67D9" w:rsidRPr="000B67D9" w:rsidRDefault="00000000" w:rsidP="000B67D9">
      <w:pPr>
        <w:pStyle w:val="Heading3"/>
        <w:spacing w:line="240" w:lineRule="auto"/>
        <w:rPr>
          <w:sz w:val="24"/>
          <w:szCs w:val="24"/>
        </w:rPr>
      </w:pPr>
      <w:r w:rsidRPr="000B67D9">
        <w:rPr>
          <w:sz w:val="24"/>
          <w:szCs w:val="24"/>
        </w:rPr>
        <w:t>Q</w:t>
      </w:r>
      <w:r w:rsidR="000B67D9" w:rsidRPr="000B67D9">
        <w:rPr>
          <w:sz w:val="24"/>
          <w:szCs w:val="24"/>
        </w:rPr>
        <w:t>8</w:t>
      </w:r>
      <w:r w:rsidRPr="000B67D9">
        <w:rPr>
          <w:sz w:val="24"/>
          <w:szCs w:val="24"/>
        </w:rPr>
        <w:t xml:space="preserve">: Can I donate and register for the conference at the same time? How is that donation used by NCPH? </w:t>
      </w:r>
    </w:p>
    <w:p w14:paraId="4C63C6BB" w14:textId="601B96C9" w:rsidR="000B67D9" w:rsidRDefault="00000000" w:rsidP="000B67D9">
      <w:pPr>
        <w:spacing w:line="240" w:lineRule="auto"/>
      </w:pPr>
      <w:r>
        <w:rPr>
          <w:b/>
        </w:rPr>
        <w:t>A</w:t>
      </w:r>
      <w:r w:rsidR="000B67D9">
        <w:rPr>
          <w:b/>
        </w:rPr>
        <w:t>8</w:t>
      </w:r>
      <w:r>
        <w:rPr>
          <w:b/>
        </w:rPr>
        <w:t xml:space="preserve">: </w:t>
      </w:r>
      <w:r>
        <w:t>Yes! This year, we’ve added a</w:t>
      </w:r>
      <w:r>
        <w:rPr>
          <w:i/>
        </w:rPr>
        <w:t xml:space="preserve"> thoroughly optional</w:t>
      </w:r>
      <w:r>
        <w:t xml:space="preserve"> donation mechanism to the annual meeting registration. The “session” Donate to NCPH provides three </w:t>
      </w:r>
      <w:r w:rsidR="000B67D9">
        <w:t>tiered donation</w:t>
      </w:r>
      <w:r>
        <w:t xml:space="preserve"> options ($10, $25, and $50). If you </w:t>
      </w:r>
      <w:r w:rsidR="000B67D9">
        <w:t>can</w:t>
      </w:r>
      <w:r>
        <w:t xml:space="preserve"> donate in this way, your donation will be used to help subsidize the reduced registration rate for students, un- and under-employed public historians, and community and grassroots participants in the conference—with our gratitude. As with any other donation you make to NCPH, it’s tax-deductible, and you’ll receive a separate receipt via email to use for tax purposes. </w:t>
      </w:r>
    </w:p>
    <w:p w14:paraId="628F3650" w14:textId="331876FB" w:rsidR="000B67D9" w:rsidRPr="000B67D9" w:rsidRDefault="00000000" w:rsidP="000B67D9">
      <w:pPr>
        <w:pStyle w:val="Heading3"/>
        <w:spacing w:line="240" w:lineRule="auto"/>
        <w:rPr>
          <w:sz w:val="24"/>
          <w:szCs w:val="24"/>
        </w:rPr>
      </w:pPr>
      <w:r w:rsidRPr="000B67D9">
        <w:rPr>
          <w:sz w:val="24"/>
          <w:szCs w:val="24"/>
        </w:rPr>
        <w:t>Q1</w:t>
      </w:r>
      <w:r w:rsidR="000B67D9" w:rsidRPr="000B67D9">
        <w:rPr>
          <w:sz w:val="24"/>
          <w:szCs w:val="24"/>
        </w:rPr>
        <w:t>9</w:t>
      </w:r>
      <w:r w:rsidRPr="000B67D9">
        <w:rPr>
          <w:sz w:val="24"/>
          <w:szCs w:val="24"/>
        </w:rPr>
        <w:t>: What do you mean by “accessibility accommodations?”</w:t>
      </w:r>
    </w:p>
    <w:p w14:paraId="45B99A06" w14:textId="789D667C" w:rsidR="000B67D9" w:rsidRDefault="00000000" w:rsidP="000B67D9">
      <w:pPr>
        <w:spacing w:line="240" w:lineRule="auto"/>
      </w:pPr>
      <w:r>
        <w:rPr>
          <w:b/>
        </w:rPr>
        <w:t>A</w:t>
      </w:r>
      <w:r w:rsidR="000B67D9">
        <w:rPr>
          <w:b/>
        </w:rPr>
        <w:t>9</w:t>
      </w:r>
      <w:r>
        <w:rPr>
          <w:b/>
        </w:rPr>
        <w:t xml:space="preserve">: </w:t>
      </w:r>
      <w:r>
        <w:t xml:space="preserve">In that section of the registration form, we want to know anything that might impact you from having a great conference experience and which we might be able to help with. Examples might </w:t>
      </w:r>
      <w:proofErr w:type="gramStart"/>
      <w:r>
        <w:t>include:</w:t>
      </w:r>
      <w:proofErr w:type="gramEnd"/>
      <w:r>
        <w:t xml:space="preserve">  you need to arrange for ASL interpretation for select sessions; you have a food allergy or intolerance and want to make sure food is labeled with your allergen; you anticipate bringing a service dog. If you need to bring someone to the conference with you to act as an aid or carer, please email </w:t>
      </w:r>
      <w:hyperlink r:id="rId13">
        <w:r>
          <w:rPr>
            <w:color w:val="1155CC"/>
            <w:u w:val="single"/>
          </w:rPr>
          <w:t>meghillm@iu.edu</w:t>
        </w:r>
      </w:hyperlink>
      <w:r>
        <w:t xml:space="preserve"> directly to arrange for a complimentary registration for that person. </w:t>
      </w:r>
    </w:p>
    <w:p w14:paraId="6D97795D" w14:textId="288AB4D2" w:rsidR="000B67D9" w:rsidRPr="000B67D9" w:rsidRDefault="00000000" w:rsidP="000B67D9">
      <w:pPr>
        <w:pStyle w:val="Heading3"/>
        <w:spacing w:line="240" w:lineRule="auto"/>
        <w:rPr>
          <w:sz w:val="24"/>
          <w:szCs w:val="24"/>
        </w:rPr>
      </w:pPr>
      <w:r w:rsidRPr="000B67D9">
        <w:rPr>
          <w:sz w:val="24"/>
          <w:szCs w:val="24"/>
        </w:rPr>
        <w:t>Q1</w:t>
      </w:r>
      <w:r w:rsidR="000B67D9" w:rsidRPr="000B67D9">
        <w:rPr>
          <w:sz w:val="24"/>
          <w:szCs w:val="24"/>
        </w:rPr>
        <w:t>0</w:t>
      </w:r>
      <w:r w:rsidRPr="000B67D9">
        <w:rPr>
          <w:sz w:val="24"/>
          <w:szCs w:val="24"/>
        </w:rPr>
        <w:t>: What’s up with all the privacy questions?</w:t>
      </w:r>
    </w:p>
    <w:p w14:paraId="1AC2599D" w14:textId="162B8146" w:rsidR="00390BB5" w:rsidRDefault="00000000" w:rsidP="000B67D9">
      <w:pPr>
        <w:spacing w:line="240" w:lineRule="auto"/>
      </w:pPr>
      <w:r>
        <w:rPr>
          <w:b/>
        </w:rPr>
        <w:t>Q1</w:t>
      </w:r>
      <w:r w:rsidR="000B67D9">
        <w:rPr>
          <w:b/>
        </w:rPr>
        <w:t>0</w:t>
      </w:r>
      <w:r>
        <w:rPr>
          <w:b/>
        </w:rPr>
        <w:t xml:space="preserve">: </w:t>
      </w:r>
      <w:r>
        <w:t xml:space="preserve">These questions keep us in compliance with national and international privacy regulations, notably the General Data Protection Regulation (GDPR) and the California Consumer Privacy Act (CCPA). We need to know how we can and cannot use your contact information and likeness. The only obligatory box to check here is for the first one, “NCPH may contact…,” so we can perform the basics of conference organization (like making your badge or emailing you our “What to Know Before You Go” email in March). </w:t>
      </w:r>
    </w:p>
    <w:p w14:paraId="03D82CB8" w14:textId="77777777" w:rsidR="000B67D9" w:rsidRDefault="00000000" w:rsidP="000B67D9">
      <w:pPr>
        <w:spacing w:line="240" w:lineRule="auto"/>
      </w:pPr>
      <w:r>
        <w:t xml:space="preserve">We appreciate it when you let our exhibitors and sponsors contact you, but it’s not obligatory—just know that if you agree to this, they are only allowed to email you twice, once before the conference and once after, and are not legally permitted to retain your contact info for future emails. </w:t>
      </w:r>
    </w:p>
    <w:p w14:paraId="3CD2BD06" w14:textId="2CF862BA" w:rsidR="000B67D9" w:rsidRPr="000B67D9" w:rsidRDefault="00000000" w:rsidP="000B67D9">
      <w:pPr>
        <w:pStyle w:val="Heading3"/>
        <w:spacing w:line="240" w:lineRule="auto"/>
        <w:rPr>
          <w:sz w:val="24"/>
          <w:szCs w:val="24"/>
        </w:rPr>
      </w:pPr>
      <w:r w:rsidRPr="000B67D9">
        <w:rPr>
          <w:sz w:val="24"/>
          <w:szCs w:val="24"/>
        </w:rPr>
        <w:t>Q1</w:t>
      </w:r>
      <w:r w:rsidR="000B67D9" w:rsidRPr="000B67D9">
        <w:rPr>
          <w:sz w:val="24"/>
          <w:szCs w:val="24"/>
        </w:rPr>
        <w:t>1</w:t>
      </w:r>
      <w:r w:rsidRPr="000B67D9">
        <w:rPr>
          <w:sz w:val="24"/>
          <w:szCs w:val="24"/>
        </w:rPr>
        <w:t>: What’s the difference between a “Session” and a “Ticket,” and why do I have to select both for some events?</w:t>
      </w:r>
    </w:p>
    <w:p w14:paraId="496A9CFB" w14:textId="4D6CE67A" w:rsidR="000B67D9" w:rsidRDefault="00000000" w:rsidP="000B67D9">
      <w:pPr>
        <w:spacing w:line="240" w:lineRule="auto"/>
      </w:pPr>
      <w:r>
        <w:rPr>
          <w:b/>
        </w:rPr>
        <w:t>A1</w:t>
      </w:r>
      <w:r w:rsidR="000B67D9">
        <w:rPr>
          <w:b/>
        </w:rPr>
        <w:t>1</w:t>
      </w:r>
      <w:r>
        <w:rPr>
          <w:b/>
        </w:rPr>
        <w:t xml:space="preserve">: </w:t>
      </w:r>
      <w:r>
        <w:t xml:space="preserve">In our registration database, a session is anything extra you can add in addition to the base registration. This includes free events and paid events. If an event is free, all you </w:t>
      </w:r>
      <w:proofErr w:type="gramStart"/>
      <w:r>
        <w:t>have to</w:t>
      </w:r>
      <w:proofErr w:type="gramEnd"/>
      <w:r>
        <w:t xml:space="preserve"> do is check the box to receive a ticket. If the event has an additional fee attached, you must both check the box </w:t>
      </w:r>
      <w:r>
        <w:rPr>
          <w:i/>
        </w:rPr>
        <w:t xml:space="preserve">and </w:t>
      </w:r>
      <w:r>
        <w:t xml:space="preserve">select the attached fee. If the additional fee is required, you won’t be able to complete your registration without checking both. </w:t>
      </w:r>
      <w:r>
        <w:br/>
      </w:r>
      <w:r>
        <w:br/>
        <w:t xml:space="preserve">Confusingly, actual sessions in the way we speak of them at conferences—meaning the concurrent sessions which form the bulk of the program—all come with the cost of the base registration and do not need to be selected separately. If we could change this language in the registration database we would! </w:t>
      </w:r>
    </w:p>
    <w:p w14:paraId="5DAB0187" w14:textId="4AA442C8" w:rsidR="000B67D9" w:rsidRPr="000B67D9" w:rsidRDefault="000B67D9" w:rsidP="000B67D9">
      <w:pPr>
        <w:pStyle w:val="Heading2"/>
        <w:spacing w:line="240" w:lineRule="auto"/>
        <w:rPr>
          <w:sz w:val="32"/>
          <w:szCs w:val="32"/>
        </w:rPr>
      </w:pPr>
      <w:r w:rsidRPr="000B67D9">
        <w:rPr>
          <w:sz w:val="32"/>
          <w:szCs w:val="32"/>
        </w:rPr>
        <w:lastRenderedPageBreak/>
        <w:t xml:space="preserve">Reg Deadlines to Know </w:t>
      </w:r>
    </w:p>
    <w:p w14:paraId="16D4E2D5" w14:textId="7D8814F0" w:rsidR="000B67D9" w:rsidRDefault="000B67D9" w:rsidP="000B67D9">
      <w:pPr>
        <w:pStyle w:val="ListParagraph"/>
        <w:numPr>
          <w:ilvl w:val="0"/>
          <w:numId w:val="4"/>
        </w:numPr>
        <w:spacing w:line="240" w:lineRule="auto"/>
      </w:pPr>
      <w:r w:rsidRPr="000B67D9">
        <w:rPr>
          <w:b/>
          <w:bCs/>
        </w:rPr>
        <w:t>September 15, 2024</w:t>
      </w:r>
      <w:r>
        <w:t xml:space="preserve">: Registration opens for accepted presenters, who will have a six-week window to register before general registration opens. Presenters who cannot register on that timeline should email Program Manager Meghan Hillman at </w:t>
      </w:r>
      <w:hyperlink r:id="rId14" w:history="1">
        <w:r w:rsidRPr="00297CF5">
          <w:rPr>
            <w:rStyle w:val="Hyperlink"/>
          </w:rPr>
          <w:t>meghillm@iu.edu</w:t>
        </w:r>
      </w:hyperlink>
      <w:r>
        <w:t xml:space="preserve"> </w:t>
      </w:r>
      <w:r>
        <w:t>to arrange an extension</w:t>
      </w:r>
      <w:r>
        <w:t>.</w:t>
      </w:r>
    </w:p>
    <w:p w14:paraId="000EC7B2" w14:textId="77777777" w:rsidR="000B67D9" w:rsidRDefault="000B67D9" w:rsidP="000B67D9">
      <w:pPr>
        <w:pStyle w:val="ListParagraph"/>
        <w:numPr>
          <w:ilvl w:val="0"/>
          <w:numId w:val="4"/>
        </w:numPr>
        <w:spacing w:line="240" w:lineRule="auto"/>
      </w:pPr>
      <w:r w:rsidRPr="000B67D9">
        <w:rPr>
          <w:b/>
          <w:bCs/>
        </w:rPr>
        <w:t>October 10, 2024:</w:t>
      </w:r>
      <w:r>
        <w:t xml:space="preserve"> Tours added to registration; presenters informed of presentation date and time.</w:t>
      </w:r>
    </w:p>
    <w:p w14:paraId="520FA1A0" w14:textId="77777777" w:rsidR="000B67D9" w:rsidRDefault="000B67D9" w:rsidP="000B67D9">
      <w:pPr>
        <w:pStyle w:val="ListParagraph"/>
        <w:numPr>
          <w:ilvl w:val="0"/>
          <w:numId w:val="4"/>
        </w:numPr>
        <w:spacing w:line="240" w:lineRule="auto"/>
      </w:pPr>
      <w:r w:rsidRPr="000B67D9">
        <w:rPr>
          <w:b/>
          <w:bCs/>
        </w:rPr>
        <w:t>November 1, 2024:</w:t>
      </w:r>
      <w:r>
        <w:t xml:space="preserve"> Registration opens to all at the early bird rates.</w:t>
      </w:r>
    </w:p>
    <w:p w14:paraId="3CB8462D" w14:textId="77777777" w:rsidR="000B67D9" w:rsidRDefault="000B67D9" w:rsidP="000B67D9">
      <w:pPr>
        <w:pStyle w:val="ListParagraph"/>
        <w:numPr>
          <w:ilvl w:val="0"/>
          <w:numId w:val="4"/>
        </w:numPr>
        <w:spacing w:line="240" w:lineRule="auto"/>
      </w:pPr>
      <w:r w:rsidRPr="000B67D9">
        <w:rPr>
          <w:b/>
          <w:bCs/>
        </w:rPr>
        <w:t>January 30, 2025:</w:t>
      </w:r>
      <w:r>
        <w:t xml:space="preserve"> Registration rates go up, marking the regular registration period.</w:t>
      </w:r>
    </w:p>
    <w:p w14:paraId="046905AB" w14:textId="77777777" w:rsidR="000B67D9" w:rsidRDefault="000B67D9" w:rsidP="000B67D9">
      <w:pPr>
        <w:pStyle w:val="ListParagraph"/>
        <w:numPr>
          <w:ilvl w:val="0"/>
          <w:numId w:val="4"/>
        </w:numPr>
        <w:spacing w:line="240" w:lineRule="auto"/>
      </w:pPr>
      <w:r w:rsidRPr="000B67D9">
        <w:rPr>
          <w:b/>
          <w:bCs/>
        </w:rPr>
        <w:t>March 12, 2025:</w:t>
      </w:r>
      <w:r>
        <w:t xml:space="preserve"> Final day to register in advance; all registrations after this date will be processed onsite.</w:t>
      </w:r>
    </w:p>
    <w:p w14:paraId="4664C44F" w14:textId="4C0B1204" w:rsidR="000B67D9" w:rsidRDefault="000B67D9" w:rsidP="000B67D9">
      <w:pPr>
        <w:pStyle w:val="ListParagraph"/>
        <w:numPr>
          <w:ilvl w:val="0"/>
          <w:numId w:val="4"/>
        </w:numPr>
        <w:spacing w:line="240" w:lineRule="auto"/>
      </w:pPr>
      <w:r w:rsidRPr="000B67D9">
        <w:rPr>
          <w:b/>
          <w:bCs/>
        </w:rPr>
        <w:t>March 26-29, 2025:</w:t>
      </w:r>
      <w:r>
        <w:t xml:space="preserve"> Attendees may register onsite for NCPH 2025.</w:t>
      </w:r>
    </w:p>
    <w:p w14:paraId="73A88901" w14:textId="700C6647" w:rsidR="000B67D9" w:rsidRPr="000B67D9" w:rsidRDefault="000B67D9" w:rsidP="000B67D9">
      <w:pPr>
        <w:pStyle w:val="Heading2"/>
        <w:spacing w:line="240" w:lineRule="auto"/>
        <w:rPr>
          <w:sz w:val="32"/>
          <w:szCs w:val="32"/>
        </w:rPr>
      </w:pPr>
      <w:r w:rsidRPr="000B67D9">
        <w:rPr>
          <w:sz w:val="32"/>
          <w:szCs w:val="32"/>
        </w:rPr>
        <w:t>Refunds</w:t>
      </w:r>
    </w:p>
    <w:p w14:paraId="114C5BFC" w14:textId="46AE6721" w:rsidR="000B67D9" w:rsidRPr="000B67D9" w:rsidRDefault="000B67D9" w:rsidP="000B67D9">
      <w:pPr>
        <w:spacing w:line="240" w:lineRule="auto"/>
      </w:pPr>
      <w:r w:rsidRPr="000B67D9">
        <w:t>With one exception</w:t>
      </w:r>
      <w:r>
        <w:t xml:space="preserve"> noted below</w:t>
      </w:r>
      <w:r w:rsidRPr="000B67D9">
        <w:t xml:space="preserve">, refund requests must be submitted via email no later than March 12, </w:t>
      </w:r>
      <w:proofErr w:type="gramStart"/>
      <w:r w:rsidRPr="000B67D9">
        <w:t>2025</w:t>
      </w:r>
      <w:proofErr w:type="gramEnd"/>
      <w:r>
        <w:t xml:space="preserve"> to </w:t>
      </w:r>
      <w:hyperlink r:id="rId15" w:history="1">
        <w:r w:rsidRPr="00C5604A">
          <w:rPr>
            <w:rStyle w:val="Hyperlink"/>
          </w:rPr>
          <w:t>ncph@iu.edu</w:t>
        </w:r>
      </w:hyperlink>
      <w:r>
        <w:t xml:space="preserve">. </w:t>
      </w:r>
    </w:p>
    <w:p w14:paraId="39719D40" w14:textId="77777777" w:rsidR="000B67D9" w:rsidRPr="000B67D9" w:rsidRDefault="000B67D9" w:rsidP="000B67D9">
      <w:pPr>
        <w:numPr>
          <w:ilvl w:val="0"/>
          <w:numId w:val="3"/>
        </w:numPr>
        <w:spacing w:line="240" w:lineRule="auto"/>
      </w:pPr>
      <w:r w:rsidRPr="000B67D9">
        <w:t>100% refund of registration fee (minus a 20% administration fee) will be issued if cancellation request is received by January 29, 2025.</w:t>
      </w:r>
    </w:p>
    <w:p w14:paraId="56AA7DC2" w14:textId="77777777" w:rsidR="000B67D9" w:rsidRPr="000B67D9" w:rsidRDefault="000B67D9" w:rsidP="000B67D9">
      <w:pPr>
        <w:numPr>
          <w:ilvl w:val="0"/>
          <w:numId w:val="3"/>
        </w:numPr>
        <w:spacing w:line="240" w:lineRule="auto"/>
      </w:pPr>
      <w:r w:rsidRPr="000B67D9">
        <w:t>50% refund of registration fee will be issued if cancellation request is received between January 30 and March 12, 2025.</w:t>
      </w:r>
    </w:p>
    <w:p w14:paraId="65A76FB0" w14:textId="77777777" w:rsidR="000B67D9" w:rsidRPr="000B67D9" w:rsidRDefault="000B67D9" w:rsidP="000B67D9">
      <w:pPr>
        <w:numPr>
          <w:ilvl w:val="0"/>
          <w:numId w:val="3"/>
        </w:numPr>
        <w:spacing w:line="240" w:lineRule="auto"/>
      </w:pPr>
      <w:r w:rsidRPr="000B67D9">
        <w:t>After March 12, 2025, we will only issue refunds for attendees who have tested positive for COVID-19 (or live with someone who has) and cannot travel to Montreal safely.</w:t>
      </w:r>
    </w:p>
    <w:p w14:paraId="7AB4877B" w14:textId="77777777" w:rsidR="000B67D9" w:rsidRPr="000B67D9" w:rsidRDefault="000B67D9" w:rsidP="000B67D9">
      <w:pPr>
        <w:spacing w:line="240" w:lineRule="auto"/>
      </w:pPr>
    </w:p>
    <w:sectPr w:rsidR="000B67D9" w:rsidRPr="000B67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37FA"/>
    <w:multiLevelType w:val="multilevel"/>
    <w:tmpl w:val="622A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8E17E7"/>
    <w:multiLevelType w:val="multilevel"/>
    <w:tmpl w:val="5928D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304999"/>
    <w:multiLevelType w:val="hybridMultilevel"/>
    <w:tmpl w:val="78C0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E4E52"/>
    <w:multiLevelType w:val="multilevel"/>
    <w:tmpl w:val="E3E20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40823">
    <w:abstractNumId w:val="0"/>
  </w:num>
  <w:num w:numId="2" w16cid:durableId="1433356197">
    <w:abstractNumId w:val="1"/>
  </w:num>
  <w:num w:numId="3" w16cid:durableId="871305642">
    <w:abstractNumId w:val="3"/>
  </w:num>
  <w:num w:numId="4" w16cid:durableId="184970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B5"/>
    <w:rsid w:val="000B67D9"/>
    <w:rsid w:val="0036710C"/>
    <w:rsid w:val="00390BB5"/>
    <w:rsid w:val="00B6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0F0"/>
  <w15:docId w15:val="{4185C8FD-797A-456B-A6E9-64809E0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63205"/>
    <w:pPr>
      <w:ind w:left="720"/>
      <w:contextualSpacing/>
    </w:pPr>
  </w:style>
  <w:style w:type="character" w:styleId="Hyperlink">
    <w:name w:val="Hyperlink"/>
    <w:basedOn w:val="DefaultParagraphFont"/>
    <w:uiPriority w:val="99"/>
    <w:unhideWhenUsed/>
    <w:rsid w:val="00B63205"/>
    <w:rPr>
      <w:color w:val="0563C1" w:themeColor="hyperlink"/>
      <w:u w:val="single"/>
    </w:rPr>
  </w:style>
  <w:style w:type="character" w:styleId="UnresolvedMention">
    <w:name w:val="Unresolved Mention"/>
    <w:basedOn w:val="DefaultParagraphFont"/>
    <w:uiPriority w:val="99"/>
    <w:semiHidden/>
    <w:unhideWhenUsed/>
    <w:rsid w:val="00BA799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835078">
      <w:bodyDiv w:val="1"/>
      <w:marLeft w:val="0"/>
      <w:marRight w:val="0"/>
      <w:marTop w:val="0"/>
      <w:marBottom w:val="0"/>
      <w:divBdr>
        <w:top w:val="none" w:sz="0" w:space="0" w:color="auto"/>
        <w:left w:val="none" w:sz="0" w:space="0" w:color="auto"/>
        <w:bottom w:val="none" w:sz="0" w:space="0" w:color="auto"/>
        <w:right w:val="none" w:sz="0" w:space="0" w:color="auto"/>
      </w:divBdr>
    </w:div>
    <w:div w:id="189812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cph@iu.edu" TargetMode="External"/><Relationship Id="rId13" Type="http://schemas.openxmlformats.org/officeDocument/2006/relationships/hyperlink" Target="mailto:meghillm@iu.edu" TargetMode="External"/><Relationship Id="rId3" Type="http://schemas.openxmlformats.org/officeDocument/2006/relationships/styles" Target="styles.xml"/><Relationship Id="rId7" Type="http://schemas.openxmlformats.org/officeDocument/2006/relationships/hyperlink" Target="https://community.ncph.org/event/NCPH2025" TargetMode="External"/><Relationship Id="rId12" Type="http://schemas.openxmlformats.org/officeDocument/2006/relationships/hyperlink" Target="mailto:ncph@i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eghillm@iu.edu" TargetMode="External"/><Relationship Id="rId11" Type="http://schemas.openxmlformats.org/officeDocument/2006/relationships/hyperlink" Target="https://community.ncph.org/" TargetMode="External"/><Relationship Id="rId5" Type="http://schemas.openxmlformats.org/officeDocument/2006/relationships/webSettings" Target="webSettings.xml"/><Relationship Id="rId15" Type="http://schemas.openxmlformats.org/officeDocument/2006/relationships/hyperlink" Target="mailto:ncph@iu.edu" TargetMode="External"/><Relationship Id="rId10" Type="http://schemas.openxmlformats.org/officeDocument/2006/relationships/hyperlink" Target="mailto:meghillm@iu.edu" TargetMode="External"/><Relationship Id="rId4" Type="http://schemas.openxmlformats.org/officeDocument/2006/relationships/settings" Target="settings.xml"/><Relationship Id="rId9" Type="http://schemas.openxmlformats.org/officeDocument/2006/relationships/hyperlink" Target="mailto:ncph@iu.edu" TargetMode="External"/><Relationship Id="rId14" Type="http://schemas.openxmlformats.org/officeDocument/2006/relationships/hyperlink" Target="mailto:meghillm@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UaMxICXzc9su8aNoGfakantaw==">CgMxLjA4AGomChRzdWdnZXN0LnZ6bGo1eDlkaDBwNRIOU3RlcGhhbmllIFJvd2VqJgoUc3VnZ2VzdC5odjEzZ3F6NWdxbHASDlN0ZXBoYW5pZSBSb3dlciExdi1sT3Y2S3VjLXBHSTdPMm9rQ1pUN1hpeV9pMzdSWlM=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Hillman, Meghan Elizabeth</dc:creator>
  <cp:lastModifiedBy>Hillman, Meghan Elizabeth</cp:lastModifiedBy>
  <cp:revision>3</cp:revision>
  <dcterms:created xsi:type="dcterms:W3CDTF">2024-09-13T16:15:00Z</dcterms:created>
  <dcterms:modified xsi:type="dcterms:W3CDTF">2024-09-13T16:15:00Z</dcterms:modified>
</cp:coreProperties>
</file>