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4E3AC" w14:textId="1BC03C90" w:rsidR="00DD29AA" w:rsidRPr="00DD29AA" w:rsidRDefault="00DD29AA" w:rsidP="00DD29AA">
      <w:pPr>
        <w:pStyle w:val="Title"/>
        <w:jc w:val="center"/>
        <w:rPr>
          <w:rFonts w:asciiTheme="minorHAnsi" w:eastAsia="Calibri" w:hAnsiTheme="minorHAnsi" w:cstheme="minorHAnsi"/>
          <w:sz w:val="32"/>
          <w:szCs w:val="32"/>
        </w:rPr>
      </w:pPr>
      <w:r w:rsidRPr="00DD29AA">
        <w:rPr>
          <w:rFonts w:asciiTheme="minorHAnsi" w:eastAsia="Calibri" w:hAnsiTheme="minorHAnsi" w:cstheme="minorHAnsi"/>
          <w:i/>
          <w:iCs/>
          <w:sz w:val="32"/>
          <w:szCs w:val="32"/>
        </w:rPr>
        <w:t>History@Work</w:t>
      </w:r>
      <w:r w:rsidRPr="00DD29AA">
        <w:rPr>
          <w:rFonts w:asciiTheme="minorHAnsi" w:eastAsia="Calibri" w:hAnsiTheme="minorHAnsi" w:cstheme="minorHAnsi"/>
          <w:sz w:val="32"/>
          <w:szCs w:val="32"/>
        </w:rPr>
        <w:t xml:space="preserve"> Editing Exercise</w:t>
      </w:r>
      <w:r>
        <w:rPr>
          <w:rFonts w:asciiTheme="minorHAnsi" w:eastAsia="Calibri" w:hAnsiTheme="minorHAnsi" w:cstheme="minorHAnsi"/>
          <w:sz w:val="32"/>
          <w:szCs w:val="32"/>
        </w:rPr>
        <w:t xml:space="preserve"> </w:t>
      </w:r>
      <w:r>
        <w:rPr>
          <w:rFonts w:asciiTheme="minorHAnsi" w:eastAsia="Calibri" w:hAnsiTheme="minorHAnsi" w:cstheme="minorHAnsi"/>
          <w:sz w:val="32"/>
          <w:szCs w:val="32"/>
        </w:rPr>
        <w:br/>
        <w:t>for Prospective Affiliate Editors</w:t>
      </w:r>
    </w:p>
    <w:p w14:paraId="50E7C248" w14:textId="77777777" w:rsidR="00DD29AA" w:rsidRPr="00DD29AA" w:rsidRDefault="00DD29AA" w:rsidP="00DD29AA">
      <w:pPr>
        <w:rPr>
          <w:rFonts w:ascii="Calibri" w:eastAsia="Calibri" w:hAnsi="Calibri" w:cs="Calibri"/>
          <w:b/>
        </w:rPr>
      </w:pPr>
    </w:p>
    <w:p w14:paraId="270F1570" w14:textId="77777777" w:rsidR="00DD29AA" w:rsidRDefault="00DD29AA" w:rsidP="00DD29AA">
      <w:pPr>
        <w:pStyle w:val="Heading1"/>
        <w:rPr>
          <w:rFonts w:eastAsia="Calibri"/>
        </w:rPr>
      </w:pPr>
      <w:r w:rsidRPr="00DD29AA">
        <w:rPr>
          <w:rFonts w:eastAsia="Calibri"/>
          <w:sz w:val="28"/>
          <w:szCs w:val="28"/>
        </w:rPr>
        <w:t>Instructions and Guidelines</w:t>
      </w:r>
    </w:p>
    <w:p w14:paraId="00000002" w14:textId="3A896469" w:rsidR="00205746" w:rsidRPr="00DD29AA" w:rsidRDefault="00DD29AA" w:rsidP="00DD29AA">
      <w:pPr>
        <w:rPr>
          <w:rFonts w:asciiTheme="minorHAnsi" w:eastAsia="Calibri" w:hAnsiTheme="minorHAnsi" w:cstheme="minorHAnsi"/>
        </w:rPr>
      </w:pPr>
      <w:r>
        <w:rPr>
          <w:rFonts w:asciiTheme="minorHAnsi" w:eastAsia="Calibri" w:hAnsiTheme="minorHAnsi" w:cstheme="minorHAnsi"/>
          <w:bCs/>
        </w:rPr>
        <w:br/>
      </w:r>
      <w:r w:rsidRPr="00DD29AA">
        <w:rPr>
          <w:rFonts w:asciiTheme="minorHAnsi" w:eastAsia="Calibri" w:hAnsiTheme="minorHAnsi" w:cstheme="minorHAnsi"/>
          <w:bCs/>
        </w:rPr>
        <w:t xml:space="preserve">We </w:t>
      </w:r>
      <w:r>
        <w:rPr>
          <w:rFonts w:asciiTheme="minorHAnsi" w:eastAsia="Calibri" w:hAnsiTheme="minorHAnsi" w:cstheme="minorHAnsi"/>
          <w:bCs/>
        </w:rPr>
        <w:t>ask each</w:t>
      </w:r>
      <w:r w:rsidRPr="00DD29AA">
        <w:rPr>
          <w:rFonts w:asciiTheme="minorHAnsi" w:eastAsia="Calibri" w:hAnsiTheme="minorHAnsi" w:cstheme="minorHAnsi"/>
          <w:bCs/>
        </w:rPr>
        <w:t xml:space="preserve"> applicant to complete a sample editing exercise.</w:t>
      </w:r>
      <w:r w:rsidRPr="00DD29AA">
        <w:rPr>
          <w:rFonts w:asciiTheme="minorHAnsi" w:eastAsia="Calibri" w:hAnsiTheme="minorHAnsi" w:cstheme="minorHAnsi"/>
        </w:rPr>
        <w:t xml:space="preserve"> </w:t>
      </w:r>
      <w:r w:rsidR="009C1219" w:rsidRPr="00DD29AA">
        <w:rPr>
          <w:rFonts w:asciiTheme="minorHAnsi" w:eastAsia="Calibri" w:hAnsiTheme="minorHAnsi" w:cstheme="minorHAnsi"/>
        </w:rPr>
        <w:t xml:space="preserve">Below, please </w:t>
      </w:r>
      <w:proofErr w:type="gramStart"/>
      <w:r w:rsidR="009C1219" w:rsidRPr="00DD29AA">
        <w:rPr>
          <w:rFonts w:asciiTheme="minorHAnsi" w:eastAsia="Calibri" w:hAnsiTheme="minorHAnsi" w:cstheme="minorHAnsi"/>
        </w:rPr>
        <w:t>find</w:t>
      </w:r>
      <w:proofErr w:type="gramEnd"/>
      <w:r w:rsidR="009C1219" w:rsidRPr="00DD29AA">
        <w:rPr>
          <w:rFonts w:asciiTheme="minorHAnsi" w:eastAsia="Calibri" w:hAnsiTheme="minorHAnsi" w:cstheme="minorHAnsi"/>
        </w:rPr>
        <w:t xml:space="preserve"> an old draft </w:t>
      </w:r>
      <w:r w:rsidR="009C1219" w:rsidRPr="00DD29AA">
        <w:rPr>
          <w:rFonts w:asciiTheme="minorHAnsi" w:eastAsia="Calibri" w:hAnsiTheme="minorHAnsi" w:cstheme="minorHAnsi"/>
          <w:i/>
          <w:iCs/>
        </w:rPr>
        <w:t>History@Work</w:t>
      </w:r>
      <w:r w:rsidR="009C1219" w:rsidRPr="00DD29AA">
        <w:rPr>
          <w:rFonts w:asciiTheme="minorHAnsi" w:eastAsia="Calibri" w:hAnsiTheme="minorHAnsi" w:cstheme="minorHAnsi"/>
        </w:rPr>
        <w:t xml:space="preserve"> post. We have permission from the author to use this post for this exercise. Please review the essay and use track changes and comments for both developmental editing and line editing. Then, upload and submit your completed exercise through the form. </w:t>
      </w:r>
    </w:p>
    <w:p w14:paraId="00000003" w14:textId="77777777" w:rsidR="00205746" w:rsidRPr="00DD29AA" w:rsidRDefault="00205746" w:rsidP="00DD29AA">
      <w:pPr>
        <w:rPr>
          <w:rFonts w:asciiTheme="minorHAnsi" w:eastAsia="Calibri" w:hAnsiTheme="minorHAnsi" w:cstheme="minorHAnsi"/>
        </w:rPr>
      </w:pPr>
    </w:p>
    <w:p w14:paraId="00000004" w14:textId="77777777" w:rsidR="00205746" w:rsidRPr="00DD29AA" w:rsidRDefault="009C1219" w:rsidP="00DD29AA">
      <w:pPr>
        <w:rPr>
          <w:rFonts w:asciiTheme="minorHAnsi" w:eastAsia="Calibri" w:hAnsiTheme="minorHAnsi" w:cstheme="minorHAnsi"/>
        </w:rPr>
      </w:pPr>
      <w:r w:rsidRPr="00DD29AA">
        <w:rPr>
          <w:rFonts w:asciiTheme="minorHAnsi" w:eastAsia="Calibri" w:hAnsiTheme="minorHAnsi" w:cstheme="minorHAnsi"/>
        </w:rPr>
        <w:t>Developmental editing usually involves comments, questions, or suggestions about organization, meaning, or clarity. Line edits correcting grammar, smoothing over confusing syntax, correcting typos, etc. We do not expect you to catch everything. We simply want to get a sense of your editing style. </w:t>
      </w:r>
    </w:p>
    <w:p w14:paraId="00000005" w14:textId="77777777" w:rsidR="00205746" w:rsidRPr="00DD29AA" w:rsidRDefault="00205746" w:rsidP="00DD29AA">
      <w:pPr>
        <w:rPr>
          <w:rFonts w:asciiTheme="minorHAnsi" w:eastAsia="Calibri" w:hAnsiTheme="minorHAnsi" w:cstheme="minorHAnsi"/>
        </w:rPr>
      </w:pPr>
    </w:p>
    <w:p w14:paraId="4984D5A6" w14:textId="77777777" w:rsidR="00EB24A0" w:rsidRPr="00DD29AA" w:rsidRDefault="009C1219" w:rsidP="00DD29AA">
      <w:pPr>
        <w:rPr>
          <w:rFonts w:asciiTheme="minorHAnsi" w:eastAsia="Calibri" w:hAnsiTheme="minorHAnsi" w:cstheme="minorHAnsi"/>
        </w:rPr>
      </w:pPr>
      <w:r w:rsidRPr="00DD29AA">
        <w:rPr>
          <w:rFonts w:asciiTheme="minorHAnsi" w:eastAsia="Calibri" w:hAnsiTheme="minorHAnsi" w:cstheme="minorHAnsi"/>
        </w:rPr>
        <w:t xml:space="preserve">As you edit, you may find it helpful to look at our contribute page: </w:t>
      </w:r>
      <w:hyperlink r:id="rId6">
        <w:r w:rsidRPr="00DD29AA">
          <w:rPr>
            <w:rFonts w:asciiTheme="minorHAnsi" w:eastAsia="Calibri" w:hAnsiTheme="minorHAnsi" w:cstheme="minorHAnsi"/>
            <w:color w:val="0563C1"/>
            <w:u w:val="single"/>
          </w:rPr>
          <w:t>https://ncph.org/history-at-work/guidelines/</w:t>
        </w:r>
      </w:hyperlink>
      <w:r w:rsidRPr="00DD29AA">
        <w:rPr>
          <w:rFonts w:asciiTheme="minorHAnsi" w:eastAsia="Calibri" w:hAnsiTheme="minorHAnsi" w:cstheme="minorHAnsi"/>
        </w:rPr>
        <w:t xml:space="preserve">. </w:t>
      </w:r>
    </w:p>
    <w:p w14:paraId="45F2377E" w14:textId="77777777" w:rsidR="00EB24A0" w:rsidRPr="00DD29AA" w:rsidRDefault="00EB24A0" w:rsidP="00DD29AA">
      <w:pPr>
        <w:rPr>
          <w:rFonts w:asciiTheme="minorHAnsi" w:eastAsia="Calibri" w:hAnsiTheme="minorHAnsi" w:cstheme="minorHAnsi"/>
        </w:rPr>
      </w:pPr>
    </w:p>
    <w:p w14:paraId="00000006" w14:textId="0805148E" w:rsidR="00205746" w:rsidRPr="00DD29AA" w:rsidRDefault="009C1219" w:rsidP="00DD29AA">
      <w:pPr>
        <w:rPr>
          <w:rFonts w:asciiTheme="minorHAnsi" w:eastAsia="Calibri" w:hAnsiTheme="minorHAnsi" w:cstheme="minorHAnsi"/>
        </w:rPr>
      </w:pPr>
      <w:r w:rsidRPr="00DD29AA">
        <w:rPr>
          <w:rFonts w:asciiTheme="minorHAnsi" w:eastAsia="Calibri" w:hAnsiTheme="minorHAnsi" w:cstheme="minorHAnsi"/>
        </w:rPr>
        <w:t>In addition, we note the following when we first reach out to authors:</w:t>
      </w:r>
    </w:p>
    <w:p w14:paraId="00000007" w14:textId="77777777" w:rsidR="00205746" w:rsidRPr="00ED15B5" w:rsidRDefault="009C1219" w:rsidP="00ED15B5">
      <w:pPr>
        <w:pStyle w:val="ListParagraph"/>
        <w:numPr>
          <w:ilvl w:val="0"/>
          <w:numId w:val="2"/>
        </w:numPr>
        <w:rPr>
          <w:rFonts w:asciiTheme="minorHAnsi" w:eastAsia="Calibri" w:hAnsiTheme="minorHAnsi" w:cstheme="minorHAnsi"/>
        </w:rPr>
      </w:pPr>
      <w:r w:rsidRPr="00ED15B5">
        <w:rPr>
          <w:rFonts w:asciiTheme="minorHAnsi" w:eastAsia="Calibri" w:hAnsiTheme="minorHAnsi" w:cstheme="minorHAnsi"/>
        </w:rPr>
        <w:t>Our tone is informal, and we do not use footnotes. Please use the hyperlink function and/or give credit to sources within the main text itself.</w:t>
      </w:r>
    </w:p>
    <w:p w14:paraId="00000008" w14:textId="77777777" w:rsidR="00205746" w:rsidRPr="00ED15B5" w:rsidRDefault="009C1219" w:rsidP="00ED15B5">
      <w:pPr>
        <w:pStyle w:val="ListParagraph"/>
        <w:numPr>
          <w:ilvl w:val="0"/>
          <w:numId w:val="2"/>
        </w:numPr>
        <w:rPr>
          <w:rFonts w:asciiTheme="minorHAnsi" w:eastAsia="Calibri" w:hAnsiTheme="minorHAnsi" w:cstheme="minorHAnsi"/>
        </w:rPr>
      </w:pPr>
      <w:r w:rsidRPr="00ED15B5">
        <w:rPr>
          <w:rFonts w:asciiTheme="minorHAnsi" w:eastAsia="Calibri" w:hAnsiTheme="minorHAnsi" w:cstheme="minorHAnsi"/>
        </w:rPr>
        <w:t>Each post should include a so what or big takeaway in the first few sentences of the essay, not at the end of the essay.</w:t>
      </w:r>
    </w:p>
    <w:p w14:paraId="00000009" w14:textId="77777777" w:rsidR="00205746" w:rsidRPr="00ED15B5" w:rsidRDefault="009C1219" w:rsidP="00ED15B5">
      <w:pPr>
        <w:pStyle w:val="ListParagraph"/>
        <w:numPr>
          <w:ilvl w:val="0"/>
          <w:numId w:val="2"/>
        </w:numPr>
        <w:rPr>
          <w:rFonts w:asciiTheme="minorHAnsi" w:eastAsia="Calibri" w:hAnsiTheme="minorHAnsi" w:cstheme="minorHAnsi"/>
        </w:rPr>
      </w:pPr>
      <w:r w:rsidRPr="00ED15B5">
        <w:rPr>
          <w:rFonts w:asciiTheme="minorHAnsi" w:eastAsia="Calibri" w:hAnsiTheme="minorHAnsi" w:cstheme="minorHAnsi"/>
        </w:rPr>
        <w:t>Posts should be between 700 and 1000 words each.</w:t>
      </w:r>
    </w:p>
    <w:p w14:paraId="0000000A" w14:textId="77777777" w:rsidR="00205746" w:rsidRPr="00ED15B5" w:rsidRDefault="009C1219" w:rsidP="00ED15B5">
      <w:pPr>
        <w:pStyle w:val="ListParagraph"/>
        <w:numPr>
          <w:ilvl w:val="0"/>
          <w:numId w:val="2"/>
        </w:numPr>
        <w:rPr>
          <w:rFonts w:asciiTheme="minorHAnsi" w:eastAsia="Calibri" w:hAnsiTheme="minorHAnsi" w:cstheme="minorHAnsi"/>
        </w:rPr>
      </w:pPr>
      <w:r w:rsidRPr="00ED15B5">
        <w:rPr>
          <w:rFonts w:asciiTheme="minorHAnsi" w:eastAsia="Calibri" w:hAnsiTheme="minorHAnsi" w:cstheme="minorHAnsi"/>
        </w:rPr>
        <w:t>Each post requires at least one image with caption, alt-text, permissions, image credit, etc.</w:t>
      </w:r>
    </w:p>
    <w:p w14:paraId="0000000B" w14:textId="77777777" w:rsidR="00205746" w:rsidRPr="00DD29AA" w:rsidRDefault="00205746" w:rsidP="00DD29AA">
      <w:pPr>
        <w:rPr>
          <w:rFonts w:asciiTheme="minorHAnsi" w:eastAsia="Calibri" w:hAnsiTheme="minorHAnsi" w:cstheme="minorHAnsi"/>
        </w:rPr>
      </w:pPr>
    </w:p>
    <w:p w14:paraId="0000000C" w14:textId="77777777" w:rsidR="00205746" w:rsidRPr="00DD29AA" w:rsidRDefault="009C1219" w:rsidP="00DD29AA">
      <w:pPr>
        <w:rPr>
          <w:rFonts w:asciiTheme="minorHAnsi" w:eastAsia="Calibri" w:hAnsiTheme="minorHAnsi" w:cstheme="minorHAnsi"/>
        </w:rPr>
      </w:pPr>
      <w:r w:rsidRPr="00DD29AA">
        <w:rPr>
          <w:rFonts w:asciiTheme="minorHAnsi" w:eastAsia="Calibri" w:hAnsiTheme="minorHAnsi" w:cstheme="minorHAnsi"/>
        </w:rPr>
        <w:t>Everyone edits at different paces, but this exercise should not take more than an hour. Feel free to increase typeface and/or add more spacing if you want. </w:t>
      </w:r>
    </w:p>
    <w:p w14:paraId="0000000E" w14:textId="77777777" w:rsidR="00205746" w:rsidRPr="00DD29AA" w:rsidRDefault="00205746" w:rsidP="00DD29AA">
      <w:pPr>
        <w:rPr>
          <w:rFonts w:ascii="Calibri" w:eastAsia="Calibri" w:hAnsi="Calibri" w:cs="Calibri"/>
        </w:rPr>
      </w:pPr>
    </w:p>
    <w:p w14:paraId="346B4FA7" w14:textId="7CFAE232" w:rsidR="00BC47F8" w:rsidRPr="00DD29AA" w:rsidRDefault="00BC47F8" w:rsidP="00DD29AA">
      <w:pPr>
        <w:pStyle w:val="Heading1"/>
        <w:rPr>
          <w:rFonts w:eastAsia="Ovo"/>
          <w:sz w:val="28"/>
          <w:szCs w:val="28"/>
        </w:rPr>
      </w:pPr>
      <w:r w:rsidRPr="00DD29AA">
        <w:rPr>
          <w:rFonts w:eastAsia="Ovo"/>
          <w:iCs/>
          <w:sz w:val="28"/>
          <w:szCs w:val="28"/>
        </w:rPr>
        <w:t>History@Work</w:t>
      </w:r>
      <w:r w:rsidRPr="00DD29AA">
        <w:rPr>
          <w:rFonts w:eastAsia="Ovo"/>
          <w:sz w:val="28"/>
          <w:szCs w:val="28"/>
        </w:rPr>
        <w:t xml:space="preserve"> Draft</w:t>
      </w:r>
      <w:r w:rsidR="00DD29AA" w:rsidRPr="00DD29AA">
        <w:rPr>
          <w:rFonts w:eastAsia="Ovo"/>
          <w:sz w:val="28"/>
          <w:szCs w:val="28"/>
        </w:rPr>
        <w:t xml:space="preserve"> Post </w:t>
      </w:r>
    </w:p>
    <w:p w14:paraId="6738909B" w14:textId="77777777" w:rsidR="00BC47F8" w:rsidRPr="00DD29AA" w:rsidRDefault="00BC47F8" w:rsidP="00DD29AA">
      <w:pPr>
        <w:rPr>
          <w:rFonts w:ascii="Calibri" w:eastAsia="Ovo" w:hAnsi="Calibri" w:cs="Calibri"/>
          <w:color w:val="000000"/>
        </w:rPr>
      </w:pPr>
    </w:p>
    <w:p w14:paraId="0000000F" w14:textId="4967F693" w:rsidR="00205746" w:rsidRPr="00DD29AA" w:rsidRDefault="009C1219" w:rsidP="00DD29AA">
      <w:pPr>
        <w:rPr>
          <w:rFonts w:asciiTheme="minorHAnsi" w:eastAsia="Ovo" w:hAnsiTheme="minorHAnsi" w:cstheme="minorHAnsi"/>
        </w:rPr>
      </w:pPr>
      <w:r w:rsidRPr="00DD29AA">
        <w:rPr>
          <w:rFonts w:asciiTheme="minorHAnsi" w:eastAsia="Ovo" w:hAnsiTheme="minorHAnsi" w:cstheme="minorHAnsi"/>
        </w:rPr>
        <w:t xml:space="preserve">What do you think of when you hear the word computer game? For most people, the term describes a game played on a computer, something that requires electronic manipulation and is far more sophisticated than the cardboard and plastic games played around a kitchen table. However, in the late 1960s and early 1970s, before the microcomputer revolution that would make computer games as we know them possible, there existed computer games that had far more in common with Monopoly than they did with Minecraft. </w:t>
      </w:r>
    </w:p>
    <w:p w14:paraId="00000010" w14:textId="77777777" w:rsidR="00205746" w:rsidRPr="00DD29AA" w:rsidRDefault="00205746" w:rsidP="00DD29AA">
      <w:pPr>
        <w:rPr>
          <w:rFonts w:asciiTheme="minorHAnsi" w:eastAsia="Ovo" w:hAnsiTheme="minorHAnsi" w:cstheme="minorHAnsi"/>
        </w:rPr>
      </w:pPr>
    </w:p>
    <w:p w14:paraId="00000011" w14:textId="77777777" w:rsidR="00205746" w:rsidRPr="00DD29AA" w:rsidRDefault="009C1219" w:rsidP="00DD29AA">
      <w:pPr>
        <w:rPr>
          <w:rFonts w:asciiTheme="minorHAnsi" w:eastAsia="Ovo" w:hAnsiTheme="minorHAnsi" w:cstheme="minorHAnsi"/>
        </w:rPr>
      </w:pPr>
      <w:r w:rsidRPr="00DD29AA">
        <w:rPr>
          <w:rFonts w:asciiTheme="minorHAnsi" w:eastAsia="Ovo" w:hAnsiTheme="minorHAnsi" w:cstheme="minorHAnsi"/>
        </w:rPr>
        <w:t xml:space="preserve">The Sarnoff Collection at the College of New Jersey will be opening a new exhibit on October 20, 2017, “Playing with Innovation: The Games of Joseph Weisbecker,” that will exhibit some </w:t>
      </w:r>
      <w:r w:rsidRPr="00DD29AA">
        <w:rPr>
          <w:rFonts w:asciiTheme="minorHAnsi" w:eastAsia="Ovo" w:hAnsiTheme="minorHAnsi" w:cstheme="minorHAnsi"/>
        </w:rPr>
        <w:lastRenderedPageBreak/>
        <w:t xml:space="preserve">prototypes of these early analog computer games. Weisbecker, an engineer at the Radio Corporation of America’s research laboratory in Princeton, NJ, was instrumental in developing a new 8-bit microcomputer architecture that provided the basis for RCA’s entry into the microprocessor market, but he always thought that computers </w:t>
      </w:r>
      <w:proofErr w:type="gramStart"/>
      <w:r w:rsidRPr="00DD29AA">
        <w:rPr>
          <w:rFonts w:asciiTheme="minorHAnsi" w:eastAsia="Ovo" w:hAnsiTheme="minorHAnsi" w:cstheme="minorHAnsi"/>
        </w:rPr>
        <w:t>would be were</w:t>
      </w:r>
      <w:proofErr w:type="gramEnd"/>
      <w:r w:rsidRPr="00DD29AA">
        <w:rPr>
          <w:rFonts w:asciiTheme="minorHAnsi" w:eastAsia="Ovo" w:hAnsiTheme="minorHAnsi" w:cstheme="minorHAnsi"/>
        </w:rPr>
        <w:t xml:space="preserve"> perfect for playing games, and games were his passion.</w:t>
      </w:r>
    </w:p>
    <w:p w14:paraId="00000012" w14:textId="77777777" w:rsidR="00205746" w:rsidRPr="00DD29AA" w:rsidRDefault="00205746" w:rsidP="00DD29AA">
      <w:pPr>
        <w:rPr>
          <w:rFonts w:asciiTheme="minorHAnsi" w:eastAsia="Ovo" w:hAnsiTheme="minorHAnsi" w:cstheme="minorHAnsi"/>
        </w:rPr>
      </w:pPr>
    </w:p>
    <w:p w14:paraId="00000013" w14:textId="77777777" w:rsidR="00205746" w:rsidRPr="00DD29AA" w:rsidRDefault="009C1219" w:rsidP="00DD29AA">
      <w:pPr>
        <w:rPr>
          <w:rFonts w:asciiTheme="minorHAnsi" w:eastAsia="Ovo" w:hAnsiTheme="minorHAnsi" w:cstheme="minorHAnsi"/>
        </w:rPr>
      </w:pPr>
      <w:r w:rsidRPr="00DD29AA">
        <w:rPr>
          <w:rFonts w:asciiTheme="minorHAnsi" w:eastAsia="Ovo" w:hAnsiTheme="minorHAnsi" w:cstheme="minorHAnsi"/>
        </w:rPr>
        <w:t xml:space="preserve">As early as the 1960s, Weisbecker had begun to dream up plastic games to introduce children to basic computer concepts. By 1964, his first toy was on the market, an inexpensive plastic game called Think-a-Dot, which used a plastic frame and several marbles to illustrate automata theory, a theory of computation central to computer science. A few years later, he published a series of series of games that illustrated other concepts of computer circuitry like flip-flop switches. He filed a variety of patents related to game design and educational </w:t>
      </w:r>
      <w:proofErr w:type="gramStart"/>
      <w:r w:rsidRPr="00DD29AA">
        <w:rPr>
          <w:rFonts w:asciiTheme="minorHAnsi" w:eastAsia="Ovo" w:hAnsiTheme="minorHAnsi" w:cstheme="minorHAnsi"/>
        </w:rPr>
        <w:t>devices, and</w:t>
      </w:r>
      <w:proofErr w:type="gramEnd"/>
      <w:r w:rsidRPr="00DD29AA">
        <w:rPr>
          <w:rFonts w:asciiTheme="minorHAnsi" w:eastAsia="Ovo" w:hAnsiTheme="minorHAnsi" w:cstheme="minorHAnsi"/>
        </w:rPr>
        <w:t xml:space="preserve"> continued to build prototypes to shop around to various toy companies. Many of these games, in the characteristically bright colors and intricate patterns of the late 1960s and early 70s, were logic puzzles and tried to convey to their players some of the workings behind computer programing, while others capitalized on the growing computer craze and explicitly referenced computers or computer terms in their titles or construction. </w:t>
      </w:r>
    </w:p>
    <w:p w14:paraId="00000014" w14:textId="77777777" w:rsidR="00205746" w:rsidRPr="00DD29AA" w:rsidRDefault="00205746" w:rsidP="00DD29AA">
      <w:pPr>
        <w:rPr>
          <w:rFonts w:asciiTheme="minorHAnsi" w:eastAsia="Ovo" w:hAnsiTheme="minorHAnsi" w:cstheme="minorHAnsi"/>
        </w:rPr>
      </w:pPr>
    </w:p>
    <w:p w14:paraId="00000015" w14:textId="77777777" w:rsidR="00205746" w:rsidRPr="00DD29AA" w:rsidRDefault="009C1219" w:rsidP="00DD29AA">
      <w:pPr>
        <w:rPr>
          <w:rFonts w:asciiTheme="minorHAnsi" w:eastAsia="Ovo" w:hAnsiTheme="minorHAnsi" w:cstheme="minorHAnsi"/>
        </w:rPr>
      </w:pPr>
      <w:r w:rsidRPr="00DD29AA">
        <w:rPr>
          <w:rFonts w:asciiTheme="minorHAnsi" w:eastAsia="Ovo" w:hAnsiTheme="minorHAnsi" w:cstheme="minorHAnsi"/>
        </w:rPr>
        <w:t xml:space="preserve">The Sarnoff Collection at TCNJ holds a treasure trove of these early games, many of which were handmade by Weisbecker or other computer engineers. </w:t>
      </w:r>
      <w:r w:rsidRPr="00DD29AA">
        <w:rPr>
          <w:rFonts w:asciiTheme="minorHAnsi" w:eastAsia="Ovo" w:hAnsiTheme="minorHAnsi" w:cstheme="minorHAnsi"/>
          <w:i/>
        </w:rPr>
        <w:t>Playing with Innovation: The Games of Joseph Weisbecker</w:t>
      </w:r>
      <w:r w:rsidRPr="00DD29AA">
        <w:rPr>
          <w:rFonts w:asciiTheme="minorHAnsi" w:eastAsia="Ovo" w:hAnsiTheme="minorHAnsi" w:cstheme="minorHAnsi"/>
        </w:rPr>
        <w:t xml:space="preserve"> will exhibit to the public for the first time some of these early game prototypes, and trace the history of their creation, and show how they fundamentally shaped the development of RCA’s microprocessor-based computers, especially the COSMAC </w:t>
      </w:r>
      <w:proofErr w:type="spellStart"/>
      <w:r w:rsidRPr="00DD29AA">
        <w:rPr>
          <w:rFonts w:asciiTheme="minorHAnsi" w:eastAsia="Ovo" w:hAnsiTheme="minorHAnsi" w:cstheme="minorHAnsi"/>
        </w:rPr>
        <w:t>Microtutor</w:t>
      </w:r>
      <w:proofErr w:type="spellEnd"/>
      <w:r w:rsidRPr="00DD29AA">
        <w:rPr>
          <w:rFonts w:asciiTheme="minorHAnsi" w:eastAsia="Ovo" w:hAnsiTheme="minorHAnsi" w:cstheme="minorHAnsi"/>
        </w:rPr>
        <w:t xml:space="preserve">, a personal computer created by Weisbecker and aimed chiefly at playing a relatively new form of entertainment, the video game. </w:t>
      </w:r>
    </w:p>
    <w:p w14:paraId="00000016" w14:textId="77777777" w:rsidR="00205746" w:rsidRPr="00DD29AA" w:rsidRDefault="00205746" w:rsidP="00DD29AA">
      <w:pPr>
        <w:rPr>
          <w:rFonts w:asciiTheme="minorHAnsi" w:eastAsia="Ovo" w:hAnsiTheme="minorHAnsi" w:cstheme="minorHAnsi"/>
        </w:rPr>
      </w:pPr>
    </w:p>
    <w:p w14:paraId="00000017" w14:textId="77777777" w:rsidR="00205746" w:rsidRPr="00DD29AA" w:rsidRDefault="009C1219" w:rsidP="00DD29AA">
      <w:pPr>
        <w:rPr>
          <w:rFonts w:asciiTheme="minorHAnsi" w:eastAsia="Ovo" w:hAnsiTheme="minorHAnsi" w:cstheme="minorHAnsi"/>
        </w:rPr>
      </w:pPr>
      <w:r w:rsidRPr="00DD29AA">
        <w:rPr>
          <w:rFonts w:asciiTheme="minorHAnsi" w:eastAsia="Ovo" w:hAnsiTheme="minorHAnsi" w:cstheme="minorHAnsi"/>
        </w:rPr>
        <w:t xml:space="preserve">This exhibition will trace the history of these </w:t>
      </w:r>
      <w:proofErr w:type="gramStart"/>
      <w:r w:rsidRPr="00DD29AA">
        <w:rPr>
          <w:rFonts w:asciiTheme="minorHAnsi" w:eastAsia="Ovo" w:hAnsiTheme="minorHAnsi" w:cstheme="minorHAnsi"/>
        </w:rPr>
        <w:t>games, and</w:t>
      </w:r>
      <w:proofErr w:type="gramEnd"/>
      <w:r w:rsidRPr="00DD29AA">
        <w:rPr>
          <w:rFonts w:asciiTheme="minorHAnsi" w:eastAsia="Ovo" w:hAnsiTheme="minorHAnsi" w:cstheme="minorHAnsi"/>
        </w:rPr>
        <w:t xml:space="preserve"> look at the connections that Weisbecker made between his analog games and computer logic, as well as the progression from games about computers to games played on a computer. Computers, he believed, should be fun, whether their main components were plastic and marbles, or silicon and circuit boards. To learn more, visit </w:t>
      </w:r>
      <w:hyperlink r:id="rId7">
        <w:r w:rsidRPr="00DD29AA">
          <w:rPr>
            <w:rFonts w:asciiTheme="minorHAnsi" w:eastAsia="Ovo" w:hAnsiTheme="minorHAnsi" w:cstheme="minorHAnsi"/>
            <w:color w:val="0563C1"/>
            <w:u w:val="single"/>
          </w:rPr>
          <w:t>tcnj.edu/</w:t>
        </w:r>
        <w:proofErr w:type="spellStart"/>
        <w:r w:rsidRPr="00DD29AA">
          <w:rPr>
            <w:rFonts w:asciiTheme="minorHAnsi" w:eastAsia="Ovo" w:hAnsiTheme="minorHAnsi" w:cstheme="minorHAnsi"/>
            <w:color w:val="0563C1"/>
            <w:u w:val="single"/>
          </w:rPr>
          <w:t>sarnoff</w:t>
        </w:r>
        <w:proofErr w:type="spellEnd"/>
      </w:hyperlink>
      <w:r w:rsidRPr="00DD29AA">
        <w:rPr>
          <w:rFonts w:asciiTheme="minorHAnsi" w:eastAsia="Ovo" w:hAnsiTheme="minorHAnsi" w:cstheme="minorHAnsi"/>
        </w:rPr>
        <w:t xml:space="preserve">, or contact </w:t>
      </w:r>
      <w:hyperlink r:id="rId8">
        <w:r w:rsidRPr="00DD29AA">
          <w:rPr>
            <w:rFonts w:asciiTheme="minorHAnsi" w:eastAsia="Ovo" w:hAnsiTheme="minorHAnsi" w:cstheme="minorHAnsi"/>
            <w:color w:val="0563C1"/>
            <w:u w:val="single"/>
          </w:rPr>
          <w:t>Florencia Pierri</w:t>
        </w:r>
      </w:hyperlink>
      <w:r w:rsidRPr="00DD29AA">
        <w:rPr>
          <w:rFonts w:asciiTheme="minorHAnsi" w:eastAsia="Ovo" w:hAnsiTheme="minorHAnsi" w:cstheme="minorHAnsi"/>
        </w:rPr>
        <w:t xml:space="preserve">, Curator, or </w:t>
      </w:r>
      <w:hyperlink r:id="rId9">
        <w:r w:rsidRPr="00DD29AA">
          <w:rPr>
            <w:rFonts w:asciiTheme="minorHAnsi" w:eastAsia="Ovo" w:hAnsiTheme="minorHAnsi" w:cstheme="minorHAnsi"/>
            <w:color w:val="0563C1"/>
            <w:u w:val="single"/>
          </w:rPr>
          <w:t>Margaret Pezalla-Granlund</w:t>
        </w:r>
      </w:hyperlink>
      <w:r w:rsidRPr="00DD29AA">
        <w:rPr>
          <w:rFonts w:asciiTheme="minorHAnsi" w:eastAsia="Ovo" w:hAnsiTheme="minorHAnsi" w:cstheme="minorHAnsi"/>
        </w:rPr>
        <w:t xml:space="preserve">, Director. </w:t>
      </w:r>
    </w:p>
    <w:p w14:paraId="00000018" w14:textId="77777777" w:rsidR="00205746" w:rsidRPr="00DD29AA" w:rsidRDefault="00205746" w:rsidP="00DD29AA">
      <w:pPr>
        <w:rPr>
          <w:rFonts w:asciiTheme="minorHAnsi" w:hAnsiTheme="minorHAnsi" w:cstheme="minorHAnsi"/>
        </w:rPr>
      </w:pPr>
    </w:p>
    <w:p w14:paraId="00000019" w14:textId="77777777" w:rsidR="00205746" w:rsidRPr="00DD29AA" w:rsidRDefault="00205746" w:rsidP="00DD29AA">
      <w:pPr>
        <w:rPr>
          <w:rFonts w:asciiTheme="minorHAnsi" w:hAnsiTheme="minorHAnsi" w:cstheme="minorHAnsi"/>
        </w:rPr>
      </w:pPr>
    </w:p>
    <w:sectPr w:rsidR="00205746" w:rsidRPr="00DD29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EC75EB-2EF6-4EE0-B8BE-5ACC558C704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CFB801E-94D4-45ED-B5C6-27ACF93CEBFD}"/>
    <w:embedBold r:id="rId3" w:fontKey="{EEDEDD5E-5932-434A-8739-0E4F9CE3F478}"/>
    <w:embedItalic r:id="rId4" w:fontKey="{6245E2CB-2E05-4FBC-80E6-6BE2C65C3343}"/>
    <w:embedBoldItalic r:id="rId5" w:fontKey="{70F03438-EF50-4297-B36C-E3F665A72390}"/>
  </w:font>
  <w:font w:name="Georgia">
    <w:panose1 w:val="02040502050405020303"/>
    <w:charset w:val="00"/>
    <w:family w:val="roman"/>
    <w:pitch w:val="variable"/>
    <w:sig w:usb0="00000287" w:usb1="00000000" w:usb2="00000000" w:usb3="00000000" w:csb0="0000009F" w:csb1="00000000"/>
    <w:embedRegular r:id="rId6" w:fontKey="{62C10F3E-6FC9-4D2F-9851-91C3D5EE45A9}"/>
    <w:embedItalic r:id="rId7" w:fontKey="{38EAB8A2-7759-405A-BD75-CEF6FF066EBC}"/>
  </w:font>
  <w:font w:name="Ovo">
    <w:charset w:val="00"/>
    <w:family w:val="auto"/>
    <w:pitch w:val="default"/>
    <w:embedRegular r:id="rId8" w:fontKey="{7D232352-60A1-44C8-B669-75E1EE3C9411}"/>
    <w:embedItalic r:id="rId9" w:fontKey="{8A635896-E042-420D-947E-8E7A093E07E9}"/>
  </w:font>
  <w:font w:name="Calibri Light">
    <w:panose1 w:val="020F0302020204030204"/>
    <w:charset w:val="00"/>
    <w:family w:val="swiss"/>
    <w:pitch w:val="variable"/>
    <w:sig w:usb0="E4002EFF" w:usb1="C200247B" w:usb2="00000009" w:usb3="00000000" w:csb0="000001FF" w:csb1="00000000"/>
    <w:embedRegular r:id="rId10" w:fontKey="{0764087B-18B9-4FAF-960A-365BC60574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B0742F"/>
    <w:multiLevelType w:val="multilevel"/>
    <w:tmpl w:val="069C0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4C243D5"/>
    <w:multiLevelType w:val="hybridMultilevel"/>
    <w:tmpl w:val="2862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020929">
    <w:abstractNumId w:val="0"/>
  </w:num>
  <w:num w:numId="2" w16cid:durableId="55587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746"/>
    <w:rsid w:val="000905F6"/>
    <w:rsid w:val="00205746"/>
    <w:rsid w:val="00275C47"/>
    <w:rsid w:val="00936ACC"/>
    <w:rsid w:val="009C1219"/>
    <w:rsid w:val="009D05D0"/>
    <w:rsid w:val="00BC47F8"/>
    <w:rsid w:val="00DD29AA"/>
    <w:rsid w:val="00EB24A0"/>
    <w:rsid w:val="00ED15B5"/>
    <w:rsid w:val="00F93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D4C3"/>
  <w15:docId w15:val="{56BD46C8-4493-442C-B3DF-5D00C919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B24A0"/>
    <w:pPr>
      <w:keepNext/>
      <w:keepLines/>
      <w:outlineLvl w:val="0"/>
    </w:pPr>
    <w:rPr>
      <w:rFonts w:asciiTheme="minorHAnsi" w:hAnsiTheme="minorHAnsi"/>
      <w:i/>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1B038D"/>
    <w:pPr>
      <w:spacing w:before="100" w:beforeAutospacing="1" w:after="100" w:afterAutospacing="1"/>
    </w:pPr>
  </w:style>
  <w:style w:type="character" w:customStyle="1" w:styleId="apple-tab-span">
    <w:name w:val="apple-tab-span"/>
    <w:basedOn w:val="DefaultParagraphFont"/>
    <w:rsid w:val="00613E05"/>
  </w:style>
  <w:style w:type="character" w:styleId="Hyperlink">
    <w:name w:val="Hyperlink"/>
    <w:basedOn w:val="DefaultParagraphFont"/>
    <w:uiPriority w:val="99"/>
    <w:unhideWhenUsed/>
    <w:rsid w:val="00C637B4"/>
    <w:rPr>
      <w:color w:val="0563C1" w:themeColor="hyperlink"/>
      <w:u w:val="single"/>
    </w:rPr>
  </w:style>
  <w:style w:type="character" w:styleId="UnresolvedMention">
    <w:name w:val="Unresolved Mention"/>
    <w:basedOn w:val="DefaultParagraphFont"/>
    <w:uiPriority w:val="99"/>
    <w:rsid w:val="00B3521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D1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ierrif@tcnj.edu" TargetMode="External"/><Relationship Id="rId3" Type="http://schemas.openxmlformats.org/officeDocument/2006/relationships/styles" Target="styles.xml"/><Relationship Id="rId7" Type="http://schemas.openxmlformats.org/officeDocument/2006/relationships/hyperlink" Target="http://www.tcnj.edu/sarnof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cph.org/history-at-work/guideline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noff@tcnj.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aFN6RD/vD9DbCmfTu0Chov8cw==">CgMxLjA4AHIhMXM3V3kySVM2bnhIbk9ySjZNNmJyQXFfSnNDS3dyMlVM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Madeline Hellmich</cp:lastModifiedBy>
  <cp:revision>3</cp:revision>
  <dcterms:created xsi:type="dcterms:W3CDTF">2025-09-16T15:36:00Z</dcterms:created>
  <dcterms:modified xsi:type="dcterms:W3CDTF">2025-09-16T16:29:00Z</dcterms:modified>
</cp:coreProperties>
</file>