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C5029" w14:textId="77777777" w:rsidR="00C47626" w:rsidRDefault="00000000">
      <w:pPr>
        <w:rPr>
          <w:b/>
          <w:bCs/>
          <w:color w:val="000000"/>
        </w:rPr>
      </w:pPr>
      <w:r>
        <w:rPr>
          <w:b/>
          <w:bCs/>
          <w:noProof/>
          <w:color w:val="000000"/>
        </w:rPr>
        <w:drawing>
          <wp:inline distT="0" distB="0" distL="0" distR="0" wp14:anchorId="0C73E1C8" wp14:editId="54A974AC">
            <wp:extent cx="2171419" cy="797664"/>
            <wp:effectExtent l="0" t="0" r="0" b="0"/>
            <wp:docPr id="977010950" name="image1.jpg" descr="Black and white rectangular History@Work logo. Readers &quot;NC/PH&quot; in white lettering within black box at left and &quot;HISTORY/@ WORK&quot; in black lettering in white rectangle at right."/>
            <wp:cNvGraphicFramePr/>
            <a:graphic xmlns:a="http://schemas.openxmlformats.org/drawingml/2006/main">
              <a:graphicData uri="http://schemas.openxmlformats.org/drawingml/2006/picture">
                <pic:pic xmlns:pic="http://schemas.openxmlformats.org/drawingml/2006/picture">
                  <pic:nvPicPr>
                    <pic:cNvPr id="0" name="image1.jpg" descr="Black and white rectangular History@Work logo. Readers &quot;NC/PH&quot; in white lettering within black box at left and &quot;HISTORY/@ WORK&quot; in black lettering in white rectangle at right."/>
                    <pic:cNvPicPr preferRelativeResize="0"/>
                  </pic:nvPicPr>
                  <pic:blipFill>
                    <a:blip r:embed="rId7"/>
                    <a:srcRect/>
                    <a:stretch>
                      <a:fillRect/>
                    </a:stretch>
                  </pic:blipFill>
                  <pic:spPr>
                    <a:xfrm>
                      <a:off x="0" y="0"/>
                      <a:ext cx="2171419" cy="797664"/>
                    </a:xfrm>
                    <a:prstGeom prst="rect">
                      <a:avLst/>
                    </a:prstGeom>
                    <a:ln/>
                  </pic:spPr>
                </pic:pic>
              </a:graphicData>
            </a:graphic>
          </wp:inline>
        </w:drawing>
      </w:r>
    </w:p>
    <w:p w14:paraId="690C05E4" w14:textId="77777777" w:rsidR="00C47626" w:rsidRDefault="00C47626">
      <w:pPr>
        <w:ind w:left="720"/>
        <w:rPr>
          <w:b/>
          <w:bCs/>
          <w:color w:val="000000"/>
        </w:rPr>
      </w:pPr>
    </w:p>
    <w:p w14:paraId="0D4AE33C" w14:textId="77777777" w:rsidR="00C47626" w:rsidRDefault="00000000">
      <w:pPr>
        <w:pStyle w:val="Title"/>
      </w:pPr>
      <w:r>
        <w:t xml:space="preserve">Call for </w:t>
      </w:r>
      <w:proofErr w:type="spellStart"/>
      <w:r>
        <w:rPr>
          <w:i/>
          <w:iCs/>
        </w:rPr>
        <w:t>History@Work</w:t>
      </w:r>
      <w:proofErr w:type="spellEnd"/>
      <w:r>
        <w:t xml:space="preserve"> Pitches </w:t>
      </w:r>
    </w:p>
    <w:p w14:paraId="0CFC1B63" w14:textId="77777777" w:rsidR="00C47626" w:rsidRDefault="00000000">
      <w:pPr>
        <w:pStyle w:val="Title"/>
      </w:pPr>
      <w:r>
        <w:t>on Documenting Historical Change</w:t>
      </w:r>
    </w:p>
    <w:p w14:paraId="3EB36D59" w14:textId="77777777" w:rsidR="00C47626" w:rsidRDefault="00C47626">
      <w:pPr>
        <w:ind w:left="720"/>
        <w:rPr>
          <w:b/>
          <w:bCs/>
          <w:color w:val="000000"/>
        </w:rPr>
      </w:pPr>
    </w:p>
    <w:p w14:paraId="0476B4A5" w14:textId="77777777" w:rsidR="00C47626" w:rsidRDefault="00000000">
      <w:pPr>
        <w:spacing w:line="240" w:lineRule="auto"/>
        <w:rPr>
          <w:color w:val="000000"/>
        </w:rPr>
      </w:pPr>
      <w:r>
        <w:rPr>
          <w:color w:val="000000"/>
        </w:rPr>
        <w:t xml:space="preserve">In 2018, </w:t>
      </w:r>
      <w:proofErr w:type="spellStart"/>
      <w:r>
        <w:rPr>
          <w:i/>
          <w:iCs/>
          <w:color w:val="000000"/>
        </w:rPr>
        <w:t>History@Work</w:t>
      </w:r>
      <w:proofErr w:type="spellEnd"/>
      <w:r>
        <w:rPr>
          <w:color w:val="000000"/>
        </w:rPr>
        <w:t xml:space="preserve"> partnered with </w:t>
      </w:r>
      <w:r>
        <w:rPr>
          <w:i/>
          <w:iCs/>
          <w:color w:val="000000"/>
        </w:rPr>
        <w:t>The Public Historian</w:t>
      </w:r>
      <w:r>
        <w:rPr>
          <w:color w:val="000000"/>
        </w:rPr>
        <w:t xml:space="preserve"> to publish a series of posts based on the concept of </w:t>
      </w:r>
      <w:hyperlink r:id="rId8">
        <w:r>
          <w:rPr>
            <w:color w:val="1155CC"/>
            <w:u w:val="single"/>
          </w:rPr>
          <w:t>“rapid response”</w:t>
        </w:r>
      </w:hyperlink>
      <w:r>
        <w:rPr>
          <w:color w:val="000000"/>
        </w:rPr>
        <w:t xml:space="preserve"> to community crises. The posts featured reflections on collecting, archiving, and documenting around community traumas ranging from </w:t>
      </w:r>
      <w:hyperlink r:id="rId9">
        <w:r>
          <w:rPr>
            <w:color w:val="1155CC"/>
            <w:u w:val="single"/>
          </w:rPr>
          <w:t>natural disasters</w:t>
        </w:r>
      </w:hyperlink>
      <w:r>
        <w:rPr>
          <w:color w:val="000000"/>
        </w:rPr>
        <w:t xml:space="preserve">, to </w:t>
      </w:r>
      <w:hyperlink r:id="rId10">
        <w:r>
          <w:rPr>
            <w:color w:val="1155CC"/>
            <w:u w:val="single"/>
          </w:rPr>
          <w:t>mass shootings</w:t>
        </w:r>
      </w:hyperlink>
      <w:r>
        <w:rPr>
          <w:color w:val="000000"/>
        </w:rPr>
        <w:t xml:space="preserve">, to </w:t>
      </w:r>
      <w:hyperlink r:id="rId11">
        <w:r>
          <w:rPr>
            <w:color w:val="1155CC"/>
            <w:u w:val="single"/>
          </w:rPr>
          <w:t>protests</w:t>
        </w:r>
      </w:hyperlink>
      <w:r>
        <w:rPr>
          <w:color w:val="000000"/>
        </w:rPr>
        <w:t xml:space="preserve"> against Confederate memorialization. </w:t>
      </w:r>
    </w:p>
    <w:p w14:paraId="58FCD217" w14:textId="77777777" w:rsidR="00C47626" w:rsidRDefault="00C47626">
      <w:pPr>
        <w:spacing w:line="240" w:lineRule="auto"/>
        <w:rPr>
          <w:color w:val="000000"/>
        </w:rPr>
      </w:pPr>
    </w:p>
    <w:p w14:paraId="7614A660" w14:textId="77777777" w:rsidR="00C47626" w:rsidRDefault="00000000">
      <w:pPr>
        <w:spacing w:line="240" w:lineRule="auto"/>
        <w:rPr>
          <w:color w:val="000000"/>
        </w:rPr>
      </w:pPr>
      <w:r>
        <w:rPr>
          <w:color w:val="000000"/>
        </w:rPr>
        <w:t xml:space="preserve">In 2020, we published a </w:t>
      </w:r>
      <w:hyperlink r:id="rId12">
        <w:r>
          <w:rPr>
            <w:color w:val="1155CC"/>
            <w:u w:val="single"/>
          </w:rPr>
          <w:t>series</w:t>
        </w:r>
      </w:hyperlink>
      <w:r>
        <w:rPr>
          <w:color w:val="000000"/>
        </w:rPr>
        <w:t xml:space="preserve"> in honor of Archives Month featuring the variety of archival responses to the COVID-19 pandemic and the related crises it helped to illuminate. </w:t>
      </w:r>
    </w:p>
    <w:p w14:paraId="113FB1E8" w14:textId="77777777" w:rsidR="00C47626" w:rsidRDefault="00C47626">
      <w:pPr>
        <w:spacing w:line="240" w:lineRule="auto"/>
        <w:rPr>
          <w:color w:val="000000"/>
        </w:rPr>
      </w:pPr>
    </w:p>
    <w:p w14:paraId="5398BC84" w14:textId="77777777" w:rsidR="00C47626" w:rsidRDefault="00000000">
      <w:pPr>
        <w:spacing w:line="240" w:lineRule="auto"/>
        <w:rPr>
          <w:color w:val="000000"/>
        </w:rPr>
      </w:pPr>
      <w:r>
        <w:rPr>
          <w:color w:val="000000"/>
        </w:rPr>
        <w:t xml:space="preserve">Six years later, many public historians find themselves facing a different set of pressures, including governmental censorship, institutional dismantlement, and concerns about surveillance and safety for protesters. We are living in a moment in which years of work undertaken at federal and state institutions may be threatened with dismantlement or suppression, and so the work of </w:t>
      </w:r>
      <w:hyperlink r:id="rId13">
        <w:r>
          <w:rPr>
            <w:color w:val="1155CC"/>
            <w:u w:val="single"/>
          </w:rPr>
          <w:t>documentation</w:t>
        </w:r>
      </w:hyperlink>
      <w:r>
        <w:rPr>
          <w:color w:val="000000"/>
        </w:rPr>
        <w:t xml:space="preserve"> and preservation feels all the more urgent. </w:t>
      </w:r>
    </w:p>
    <w:p w14:paraId="2584E660" w14:textId="77777777" w:rsidR="00C47626" w:rsidRDefault="00C47626">
      <w:pPr>
        <w:spacing w:line="240" w:lineRule="auto"/>
        <w:rPr>
          <w:color w:val="000000"/>
        </w:rPr>
      </w:pPr>
    </w:p>
    <w:p w14:paraId="7686C338" w14:textId="77777777" w:rsidR="00C47626" w:rsidRDefault="00000000">
      <w:pPr>
        <w:spacing w:line="240" w:lineRule="auto"/>
        <w:rPr>
          <w:color w:val="000000"/>
        </w:rPr>
      </w:pPr>
      <w:r>
        <w:rPr>
          <w:b/>
          <w:bCs/>
          <w:color w:val="000000"/>
        </w:rPr>
        <w:t xml:space="preserve">Given these interlocking pressures, </w:t>
      </w:r>
      <w:proofErr w:type="spellStart"/>
      <w:r>
        <w:rPr>
          <w:b/>
          <w:bCs/>
          <w:i/>
          <w:iCs/>
          <w:color w:val="000000"/>
        </w:rPr>
        <w:t>History@Work</w:t>
      </w:r>
      <w:proofErr w:type="spellEnd"/>
      <w:r>
        <w:rPr>
          <w:b/>
          <w:bCs/>
          <w:color w:val="000000"/>
        </w:rPr>
        <w:t xml:space="preserve"> is interested in pitches related to documenting and preserving public history information and evidence of institutional disruption. </w:t>
      </w:r>
      <w:r>
        <w:rPr>
          <w:color w:val="000000"/>
        </w:rPr>
        <w:t xml:space="preserve">For example, the </w:t>
      </w:r>
      <w:hyperlink r:id="rId14">
        <w:r>
          <w:rPr>
            <w:color w:val="1155CC"/>
            <w:u w:val="single"/>
          </w:rPr>
          <w:t>Data Rescue Project</w:t>
        </w:r>
      </w:hyperlink>
      <w:r>
        <w:rPr>
          <w:color w:val="000000"/>
        </w:rPr>
        <w:t xml:space="preserve"> has worked to archive </w:t>
      </w:r>
      <w:hyperlink r:id="rId15">
        <w:r>
          <w:rPr>
            <w:color w:val="1155CC"/>
            <w:u w:val="single"/>
          </w:rPr>
          <w:t>National Park Signs</w:t>
        </w:r>
      </w:hyperlink>
      <w:r>
        <w:rPr>
          <w:color w:val="000000"/>
        </w:rPr>
        <w:t xml:space="preserve"> at risk of removal. Colleagues facing funding cuts and departmental restructuring in response to (or anticipation of) state mandates have shared stories of saving project archives on external hard drives and printing paper copies of reports and files for future access. </w:t>
      </w:r>
      <w:r>
        <w:t>T</w:t>
      </w:r>
      <w:r>
        <w:rPr>
          <w:color w:val="000000"/>
        </w:rPr>
        <w:t xml:space="preserve">he Organization of American Historians has initiated an </w:t>
      </w:r>
      <w:hyperlink r:id="rId16">
        <w:r>
          <w:rPr>
            <w:color w:val="1155CC"/>
            <w:u w:val="single"/>
          </w:rPr>
          <w:t>oral history project</w:t>
        </w:r>
      </w:hyperlink>
      <w:r>
        <w:rPr>
          <w:color w:val="000000"/>
        </w:rPr>
        <w:t xml:space="preserve"> to document the experiences of federal workers impacted by administrative policies and actions. We have also seen the impact of </w:t>
      </w:r>
      <w:hyperlink r:id="rId17">
        <w:r>
          <w:rPr>
            <w:color w:val="1155CC"/>
            <w:u w:val="single"/>
          </w:rPr>
          <w:t>community commitments</w:t>
        </w:r>
      </w:hyperlink>
      <w:r>
        <w:rPr>
          <w:color w:val="000000"/>
        </w:rPr>
        <w:t xml:space="preserve"> to historical interpretation. </w:t>
      </w:r>
    </w:p>
    <w:p w14:paraId="2AFC2D16" w14:textId="77777777" w:rsidR="00C47626" w:rsidRDefault="00C47626">
      <w:pPr>
        <w:spacing w:line="240" w:lineRule="auto"/>
        <w:rPr>
          <w:color w:val="000000"/>
        </w:rPr>
      </w:pPr>
    </w:p>
    <w:p w14:paraId="275A747E" w14:textId="77777777" w:rsidR="00C47626" w:rsidRDefault="00000000">
      <w:pPr>
        <w:spacing w:line="240" w:lineRule="auto"/>
        <w:rPr>
          <w:color w:val="000000"/>
        </w:rPr>
      </w:pPr>
      <w:r>
        <w:rPr>
          <w:color w:val="000000"/>
        </w:rPr>
        <w:t xml:space="preserve">We are aware that public historians have legitimate concerns about consequences that they might face at their jobs if this work is made public. We are also aware of the need to protect the </w:t>
      </w:r>
      <w:hyperlink r:id="rId18">
        <w:r>
          <w:rPr>
            <w:color w:val="1155CC"/>
            <w:u w:val="single"/>
          </w:rPr>
          <w:t>privacy of protesters</w:t>
        </w:r>
      </w:hyperlink>
      <w:r>
        <w:rPr>
          <w:color w:val="000000"/>
        </w:rPr>
        <w:t xml:space="preserve"> and activists whose opposition to governmental policies or actions may put them in danger of retaliation. Acknowledging these </w:t>
      </w:r>
      <w:proofErr w:type="gramStart"/>
      <w:r>
        <w:rPr>
          <w:color w:val="000000"/>
        </w:rPr>
        <w:t>realities, and</w:t>
      </w:r>
      <w:proofErr w:type="gramEnd"/>
      <w:r>
        <w:rPr>
          <w:color w:val="000000"/>
        </w:rPr>
        <w:t xml:space="preserve"> </w:t>
      </w:r>
      <w:r>
        <w:rPr>
          <w:b/>
          <w:bCs/>
          <w:color w:val="000000"/>
        </w:rPr>
        <w:t xml:space="preserve">knowing that it is impossible for </w:t>
      </w:r>
      <w:proofErr w:type="spellStart"/>
      <w:r>
        <w:rPr>
          <w:b/>
          <w:bCs/>
          <w:i/>
          <w:iCs/>
          <w:color w:val="000000"/>
        </w:rPr>
        <w:t>History@Work</w:t>
      </w:r>
      <w:proofErr w:type="spellEnd"/>
      <w:r>
        <w:rPr>
          <w:b/>
          <w:bCs/>
          <w:i/>
          <w:iCs/>
          <w:color w:val="000000"/>
        </w:rPr>
        <w:t xml:space="preserve"> </w:t>
      </w:r>
      <w:r>
        <w:rPr>
          <w:b/>
          <w:bCs/>
          <w:color w:val="000000"/>
        </w:rPr>
        <w:t>to guarantee anonymity for authors, we maintain a policy of not publishing anonymous posts.</w:t>
      </w:r>
    </w:p>
    <w:p w14:paraId="5433D4E6" w14:textId="77777777" w:rsidR="00C47626" w:rsidRDefault="00C47626">
      <w:pPr>
        <w:spacing w:line="240" w:lineRule="auto"/>
        <w:rPr>
          <w:color w:val="000000"/>
        </w:rPr>
      </w:pPr>
    </w:p>
    <w:p w14:paraId="637B4E33" w14:textId="77777777" w:rsidR="00C47626" w:rsidRDefault="00000000">
      <w:pPr>
        <w:spacing w:line="240" w:lineRule="auto"/>
        <w:rPr>
          <w:color w:val="000000"/>
        </w:rPr>
      </w:pPr>
      <w:r>
        <w:rPr>
          <w:color w:val="000000"/>
        </w:rPr>
        <w:t xml:space="preserve">For that reason, we encourage posts from retired and former staffers and other collaborators and partners who feel that they are in a less precarious position to share about this important work. We are hopeful that providing perspectives and guidance through </w:t>
      </w:r>
      <w:proofErr w:type="spellStart"/>
      <w:r>
        <w:rPr>
          <w:i/>
          <w:iCs/>
          <w:color w:val="000000"/>
        </w:rPr>
        <w:t>History@Work</w:t>
      </w:r>
      <w:proofErr w:type="spellEnd"/>
      <w:r>
        <w:rPr>
          <w:color w:val="000000"/>
        </w:rPr>
        <w:t xml:space="preserve"> can help members of the public history community craft their own responses to this challenging historical environment.</w:t>
      </w:r>
    </w:p>
    <w:sectPr w:rsidR="00C47626">
      <w:headerReference w:type="default" r:id="rId19"/>
      <w:footerReference w:type="even" r:id="rId20"/>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399AC" w14:textId="77777777" w:rsidR="00BB0FFB" w:rsidRDefault="00BB0FFB">
      <w:pPr>
        <w:spacing w:line="240" w:lineRule="auto"/>
      </w:pPr>
      <w:r>
        <w:separator/>
      </w:r>
    </w:p>
  </w:endnote>
  <w:endnote w:type="continuationSeparator" w:id="0">
    <w:p w14:paraId="0009004C" w14:textId="77777777" w:rsidR="00BB0FFB" w:rsidRDefault="00BB0F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AAA8F4B-8489-DA4E-ACD5-050DED4EB6B4}"/>
    <w:embedBold r:id="rId2" w:fontKey="{C5ED6EEA-A16E-B748-9F49-828DD4E18975}"/>
    <w:embedItalic r:id="rId3" w:fontKey="{67827268-0660-BF4F-86E9-3DED05B60B7B}"/>
    <w:embedBoldItalic r:id="rId4" w:fontKey="{03D71FC8-3201-C04B-A988-BD6C9EC1B3C6}"/>
  </w:font>
  <w:font w:name="Times New Roman">
    <w:panose1 w:val="02020603050405020304"/>
    <w:charset w:val="00"/>
    <w:family w:val="roman"/>
    <w:pitch w:val="variable"/>
    <w:sig w:usb0="E0002EFF" w:usb1="C000785B" w:usb2="00000009" w:usb3="00000000" w:csb0="000001FF" w:csb1="00000000"/>
    <w:embedRegular r:id="rId5" w:fontKey="{CA83E427-A4E3-024D-957A-7E336EB999CC}"/>
  </w:font>
  <w:font w:name="Calibri">
    <w:panose1 w:val="020F0502020204030204"/>
    <w:charset w:val="00"/>
    <w:family w:val="swiss"/>
    <w:pitch w:val="variable"/>
    <w:sig w:usb0="E0002AFF" w:usb1="C000247B" w:usb2="00000009" w:usb3="00000000" w:csb0="000001FF" w:csb1="00000000"/>
    <w:embedRegular r:id="rId6" w:fontKey="{06C93F45-A26F-2940-B46A-38EFB26B7E19}"/>
  </w:font>
  <w:font w:name="Cambria">
    <w:panose1 w:val="02040503050406030204"/>
    <w:charset w:val="00"/>
    <w:family w:val="roman"/>
    <w:pitch w:val="variable"/>
    <w:sig w:usb0="E00006FF" w:usb1="420024FF" w:usb2="02000000" w:usb3="00000000" w:csb0="0000019F" w:csb1="00000000"/>
    <w:embedRegular r:id="rId7" w:fontKey="{0846E167-03D7-2D4F-8EE9-0679B7ABC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65A52" w14:textId="77777777" w:rsidR="00C47626"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4A3EDAF" w14:textId="77777777" w:rsidR="00C47626" w:rsidRDefault="00C47626">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EC2F" w14:textId="77777777" w:rsidR="00C47626"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AF39AD">
      <w:rPr>
        <w:noProof/>
        <w:color w:val="000000"/>
      </w:rPr>
      <w:t>1</w:t>
    </w:r>
    <w:r>
      <w:rPr>
        <w:color w:val="000000"/>
      </w:rPr>
      <w:fldChar w:fldCharType="end"/>
    </w:r>
  </w:p>
  <w:p w14:paraId="4EA9C0D5" w14:textId="77777777" w:rsidR="00C47626" w:rsidRDefault="00C47626">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61056" w14:textId="77777777" w:rsidR="00BB0FFB" w:rsidRDefault="00BB0FFB">
      <w:pPr>
        <w:spacing w:line="240" w:lineRule="auto"/>
      </w:pPr>
      <w:r>
        <w:separator/>
      </w:r>
    </w:p>
  </w:footnote>
  <w:footnote w:type="continuationSeparator" w:id="0">
    <w:p w14:paraId="1E3C4D54" w14:textId="77777777" w:rsidR="00BB0FFB" w:rsidRDefault="00BB0F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3ABB" w14:textId="77777777" w:rsidR="00C47626" w:rsidRDefault="00000000">
    <w:pPr>
      <w:pBdr>
        <w:top w:val="nil"/>
        <w:left w:val="nil"/>
        <w:bottom w:val="nil"/>
        <w:right w:val="nil"/>
        <w:between w:val="nil"/>
      </w:pBdr>
      <w:tabs>
        <w:tab w:val="center" w:pos="4680"/>
        <w:tab w:val="right" w:pos="9360"/>
      </w:tabs>
      <w:spacing w:line="240" w:lineRule="auto"/>
      <w:rPr>
        <w:color w:val="000000"/>
      </w:rPr>
    </w:pPr>
    <w:r>
      <w:rPr>
        <w:color w:val="000000"/>
      </w:rPr>
      <w:t>Last updated Monday, March 23, 2026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26"/>
    <w:rsid w:val="00874B5E"/>
    <w:rsid w:val="00AF39AD"/>
    <w:rsid w:val="00BB0FFB"/>
    <w:rsid w:val="00C4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7536EE"/>
  <w15:docId w15:val="{8294A6B8-7F51-2B42-9202-CBBA6FD72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Footer">
    <w:name w:val="footer"/>
    <w:basedOn w:val="Normal"/>
    <w:link w:val="FooterChar"/>
    <w:uiPriority w:val="99"/>
    <w:unhideWhenUsed/>
    <w:rsid w:val="003814B0"/>
    <w:pPr>
      <w:tabs>
        <w:tab w:val="center" w:pos="4680"/>
        <w:tab w:val="right" w:pos="9360"/>
      </w:tabs>
      <w:spacing w:line="240" w:lineRule="auto"/>
    </w:pPr>
  </w:style>
  <w:style w:type="character" w:customStyle="1" w:styleId="FooterChar">
    <w:name w:val="Footer Char"/>
    <w:basedOn w:val="DefaultParagraphFont"/>
    <w:link w:val="Footer"/>
    <w:uiPriority w:val="99"/>
    <w:rsid w:val="003814B0"/>
  </w:style>
  <w:style w:type="character" w:styleId="PageNumber">
    <w:name w:val="page number"/>
    <w:basedOn w:val="DefaultParagraphFont"/>
    <w:uiPriority w:val="99"/>
    <w:semiHidden/>
    <w:unhideWhenUsed/>
    <w:rsid w:val="003814B0"/>
  </w:style>
  <w:style w:type="paragraph" w:styleId="Header">
    <w:name w:val="header"/>
    <w:basedOn w:val="Normal"/>
    <w:link w:val="HeaderChar"/>
    <w:uiPriority w:val="99"/>
    <w:unhideWhenUsed/>
    <w:rsid w:val="003814B0"/>
    <w:pPr>
      <w:tabs>
        <w:tab w:val="center" w:pos="4680"/>
        <w:tab w:val="right" w:pos="9360"/>
      </w:tabs>
      <w:spacing w:line="240" w:lineRule="auto"/>
    </w:pPr>
  </w:style>
  <w:style w:type="character" w:customStyle="1" w:styleId="HeaderChar">
    <w:name w:val="Header Char"/>
    <w:basedOn w:val="DefaultParagraphFont"/>
    <w:link w:val="Header"/>
    <w:uiPriority w:val="99"/>
    <w:rsid w:val="003814B0"/>
  </w:style>
  <w:style w:type="paragraph" w:styleId="ListParagraph">
    <w:name w:val="List Paragraph"/>
    <w:basedOn w:val="Normal"/>
    <w:uiPriority w:val="34"/>
    <w:qFormat/>
    <w:rsid w:val="00C108D7"/>
    <w:pPr>
      <w:ind w:left="720"/>
      <w:contextualSpacing/>
    </w:pPr>
  </w:style>
  <w:style w:type="paragraph" w:styleId="NormalWeb">
    <w:name w:val="Normal (Web)"/>
    <w:basedOn w:val="Normal"/>
    <w:uiPriority w:val="99"/>
    <w:semiHidden/>
    <w:unhideWhenUsed/>
    <w:rsid w:val="00FB44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semiHidden/>
    <w:unhideWhenUsed/>
    <w:rsid w:val="00FB4431"/>
    <w:rPr>
      <w:color w:val="0000FF"/>
      <w:u w:val="single"/>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cph.org/history-at-work/tag/rapid-response/" TargetMode="External"/><Relationship Id="rId13" Type="http://schemas.openxmlformats.org/officeDocument/2006/relationships/hyperlink" Target="https://thehoya.com/news/city-news/citizen-historians-document-smithsonian-fearing-censorship-efforts/" TargetMode="External"/><Relationship Id="rId18" Type="http://schemas.openxmlformats.org/officeDocument/2006/relationships/hyperlink" Target="https://www.pbs.org/newshour/politics/department-of-homeland-security-intensifies-surveillance-in-immigration-raids-sweeping-in-citizens"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hyperlink" Target="https://ncph.org/history-at-work/tag/2020-archives-month-series/" TargetMode="External"/><Relationship Id="rId17" Type="http://schemas.openxmlformats.org/officeDocument/2006/relationships/hyperlink" Target="https://www.datarescueproject.org/independence-update/" TargetMode="External"/><Relationship Id="rId2" Type="http://schemas.openxmlformats.org/officeDocument/2006/relationships/styles" Target="styles.xml"/><Relationship Id="rId16" Type="http://schemas.openxmlformats.org/officeDocument/2006/relationships/hyperlink" Target="https://www.oah.org/2025/03/04/federal-employees-oral-history-projec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ncph.org/history-at-work/archives-student-activism-mtsu/" TargetMode="External"/><Relationship Id="rId5" Type="http://schemas.openxmlformats.org/officeDocument/2006/relationships/footnotes" Target="footnotes.xml"/><Relationship Id="rId15" Type="http://schemas.openxmlformats.org/officeDocument/2006/relationships/hyperlink" Target="https://www.datarescueproject.org/save-our-signs-the-peoples-archive/" TargetMode="External"/><Relationship Id="rId23" Type="http://schemas.openxmlformats.org/officeDocument/2006/relationships/theme" Target="theme/theme1.xml"/><Relationship Id="rId10" Type="http://schemas.openxmlformats.org/officeDocument/2006/relationships/hyperlink" Target="https://ncph.org/history-at-work/archiving-the-1-october-web/"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ncph.org/history-at-work/the-development-of-the-victorian-bushfires-collection/" TargetMode="External"/><Relationship Id="rId14" Type="http://schemas.openxmlformats.org/officeDocument/2006/relationships/hyperlink" Target="https://www.datarescueproject.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3r98ZtPsfN4U/A1wI7xtPwl4yg==">CgMxLjA4AGomChRzdWdnZXN0LmVlYXdyOGs3MWcydBIOTWVnaGFuIEhpbGxtYW5qJgoUc3VnZ2VzdC5xZG5mdTNlbXozdnoSDk1lZ2hhbiBIaWxsbWFuaiYKFHN1Z2dlc3QuYWdhM3hqY3Fhdng0Eg5NZWdoYW4gSGlsbG1hbnIhMTJWSlgwMEVta1pwM2FNZUtENjBHTGhHTExXWmNGVXFT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2297</Characters>
  <Application>Microsoft Office Word</Application>
  <DocSecurity>0</DocSecurity>
  <Lines>49</Lines>
  <Paragraphs>8</Paragraphs>
  <ScaleCrop>false</ScaleCrop>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Hellmich</cp:lastModifiedBy>
  <cp:revision>2</cp:revision>
  <dcterms:created xsi:type="dcterms:W3CDTF">2026-03-23T15:57:00Z</dcterms:created>
  <dcterms:modified xsi:type="dcterms:W3CDTF">2026-03-23T16:25:00Z</dcterms:modified>
</cp:coreProperties>
</file>